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EEE97" w14:textId="524824F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F34C74" w:rsidRPr="00CE0424">
        <w:rPr>
          <w:sz w:val="32"/>
          <w:szCs w:val="32"/>
        </w:rPr>
        <w:t>1</w:t>
      </w:r>
      <w:r w:rsidR="00F34C74" w:rsidRPr="00F34C74">
        <w:rPr>
          <w:sz w:val="32"/>
          <w:szCs w:val="32"/>
        </w:rPr>
        <w:t>7</w:t>
      </w:r>
      <w:r w:rsidR="00F34C74" w:rsidRPr="00035C7E">
        <w:rPr>
          <w:sz w:val="32"/>
          <w:szCs w:val="32"/>
        </w:rPr>
        <w:t>11176</w:t>
      </w:r>
    </w:p>
    <w:p w14:paraId="5A640393"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49EA0DBF" w14:textId="77777777" w:rsidR="00E90E49" w:rsidRPr="00CE0424" w:rsidRDefault="00E90E49" w:rsidP="00357380">
      <w:pPr>
        <w:pStyle w:val="3GPPHeader"/>
      </w:pPr>
    </w:p>
    <w:p w14:paraId="331E2F14" w14:textId="34BF4497" w:rsidR="00E90E49" w:rsidRPr="008B169E" w:rsidRDefault="00E90E49" w:rsidP="00311702">
      <w:pPr>
        <w:pStyle w:val="3GPPHeader"/>
        <w:rPr>
          <w:sz w:val="22"/>
          <w:szCs w:val="22"/>
          <w:lang w:val="en-US"/>
        </w:rPr>
      </w:pPr>
      <w:r w:rsidRPr="008B169E">
        <w:rPr>
          <w:sz w:val="22"/>
          <w:szCs w:val="22"/>
          <w:lang w:val="en-US"/>
        </w:rPr>
        <w:t>Agenda Item:</w:t>
      </w:r>
      <w:r w:rsidRPr="008B169E">
        <w:rPr>
          <w:sz w:val="22"/>
          <w:szCs w:val="22"/>
          <w:lang w:val="en-US"/>
        </w:rPr>
        <w:tab/>
      </w:r>
      <w:r w:rsidR="003C389D" w:rsidRPr="008B169E">
        <w:rPr>
          <w:sz w:val="22"/>
          <w:szCs w:val="22"/>
          <w:lang w:val="en-US"/>
        </w:rPr>
        <w:t>10.3.1.4.2</w:t>
      </w:r>
    </w:p>
    <w:p w14:paraId="2800F22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576F01" w14:textId="5ECD69BD" w:rsidR="00E90E49" w:rsidRPr="00CE0424" w:rsidRDefault="003D3C45" w:rsidP="00311702">
      <w:pPr>
        <w:pStyle w:val="3GPPHeader"/>
        <w:rPr>
          <w:sz w:val="22"/>
          <w:szCs w:val="22"/>
        </w:rPr>
      </w:pPr>
      <w:r>
        <w:rPr>
          <w:sz w:val="22"/>
          <w:szCs w:val="22"/>
        </w:rPr>
        <w:t>Title:</w:t>
      </w:r>
      <w:r w:rsidR="00E90E49" w:rsidRPr="00CE0424">
        <w:rPr>
          <w:sz w:val="22"/>
          <w:szCs w:val="22"/>
        </w:rPr>
        <w:tab/>
      </w:r>
      <w:r w:rsidR="00286180">
        <w:rPr>
          <w:sz w:val="22"/>
          <w:szCs w:val="22"/>
        </w:rPr>
        <w:t>Preamble modelling and configuration with multiple SSB</w:t>
      </w:r>
      <w:r w:rsidR="00350842">
        <w:rPr>
          <w:sz w:val="22"/>
          <w:szCs w:val="22"/>
        </w:rPr>
        <w:t>s</w:t>
      </w:r>
    </w:p>
    <w:p w14:paraId="004A5E39" w14:textId="2BEBD87F" w:rsidR="00E90E49" w:rsidRDefault="00E90E49" w:rsidP="00D546FF">
      <w:pPr>
        <w:pStyle w:val="3GPPHeader"/>
        <w:rPr>
          <w:sz w:val="22"/>
          <w:szCs w:val="22"/>
        </w:rPr>
      </w:pPr>
      <w:r w:rsidRPr="00035C7E">
        <w:rPr>
          <w:sz w:val="22"/>
          <w:szCs w:val="22"/>
        </w:rPr>
        <w:t>Document for:</w:t>
      </w:r>
      <w:r w:rsidRPr="00035C7E">
        <w:rPr>
          <w:sz w:val="22"/>
          <w:szCs w:val="22"/>
        </w:rPr>
        <w:tab/>
        <w:t>Discussion, Decision</w:t>
      </w:r>
    </w:p>
    <w:p w14:paraId="11DD4214" w14:textId="77777777" w:rsidR="00035C7E" w:rsidRDefault="00035C7E" w:rsidP="00D546FF">
      <w:pPr>
        <w:pStyle w:val="3GPPHeader"/>
        <w:rPr>
          <w:sz w:val="22"/>
          <w:szCs w:val="22"/>
        </w:rPr>
      </w:pPr>
    </w:p>
    <w:p w14:paraId="66D9E608" w14:textId="77777777" w:rsidR="00C24345" w:rsidRDefault="00E90E49" w:rsidP="00A2052C">
      <w:pPr>
        <w:pStyle w:val="Heading1"/>
      </w:pPr>
      <w:r w:rsidRPr="00CE0424">
        <w:t>Introduction</w:t>
      </w:r>
    </w:p>
    <w:p w14:paraId="505ABF16" w14:textId="08C14FE6" w:rsidR="00A2052C" w:rsidRPr="00A2052C" w:rsidRDefault="005B4AE4" w:rsidP="00A2052C">
      <w:r>
        <w:t>In this paper we discuss our view of the modelling of the Random Access in MAC</w:t>
      </w:r>
      <w:r w:rsidR="00AC7090">
        <w:t xml:space="preserve"> </w:t>
      </w:r>
      <w:r w:rsidR="00BF7A27">
        <w:t xml:space="preserve">and </w:t>
      </w:r>
      <w:r w:rsidR="00AC7090">
        <w:t>in physical layer. We also touch upon the RRC configuration needed for the procedure.</w:t>
      </w:r>
      <w:r>
        <w:t xml:space="preserve"> This paper focuses </w:t>
      </w:r>
      <w:r w:rsidR="00AC7090">
        <w:t xml:space="preserve">especially </w:t>
      </w:r>
      <w:r>
        <w:t>on</w:t>
      </w:r>
      <w:r w:rsidR="00670F8E">
        <w:t xml:space="preserve"> </w:t>
      </w:r>
      <w:r w:rsidR="00AC7090">
        <w:t>how the UE selects the correct sequence and random access occasion and on the Random Access Response (</w:t>
      </w:r>
      <w:r w:rsidR="00670F8E">
        <w:t>RAR</w:t>
      </w:r>
      <w:r w:rsidR="00AC7090">
        <w:t>)</w:t>
      </w:r>
      <w:r w:rsidR="00670F8E">
        <w:t>.</w:t>
      </w:r>
    </w:p>
    <w:p w14:paraId="0E3F7F31" w14:textId="39ED5774" w:rsidR="00BF7A27" w:rsidRDefault="00BF7A27" w:rsidP="00CE0424">
      <w:pPr>
        <w:pStyle w:val="Heading1"/>
      </w:pPr>
      <w:r>
        <w:t>Random access procedure</w:t>
      </w:r>
      <w:r w:rsidR="00AC7090">
        <w:t xml:space="preserve"> in MAC</w:t>
      </w:r>
    </w:p>
    <w:p w14:paraId="63E82728" w14:textId="4589C74B" w:rsidR="00BF7A27" w:rsidRDefault="00BF7A27" w:rsidP="009A7E0F">
      <w:r>
        <w:t xml:space="preserve">The </w:t>
      </w:r>
      <w:r w:rsidR="00AC7090">
        <w:t xml:space="preserve">random access procedure </w:t>
      </w:r>
      <w:r w:rsidR="00C62101">
        <w:t>starts with</w:t>
      </w:r>
      <w:r w:rsidR="00AC7090">
        <w:t xml:space="preserve"> </w:t>
      </w:r>
      <w:r w:rsidR="00C62101">
        <w:t>a preamble</w:t>
      </w:r>
      <w:r w:rsidR="00AC7090">
        <w:t xml:space="preserve"> transmission followed by random access response (RAR). The required configuration for msg1 transmission is obtained either from the system information (for e.g. initial access or system information request) or from dedicated signalling (for e.g. hand-over or positioning).</w:t>
      </w:r>
    </w:p>
    <w:p w14:paraId="06D53041" w14:textId="541E2FA0" w:rsidR="00AC7090" w:rsidRDefault="00CC3809" w:rsidP="009A7E0F">
      <w:r>
        <w:t>S</w:t>
      </w:r>
      <w:r w:rsidR="00AC7090">
        <w:t>imilar to LTE, the RRC configuration will need to provide the UE with necessary L1 and L2 parameters, especially</w:t>
      </w:r>
    </w:p>
    <w:p w14:paraId="3F9B3A21" w14:textId="4394D73A" w:rsidR="00AC7090" w:rsidRDefault="00AC7090" w:rsidP="009A7E0F">
      <w:pPr>
        <w:pStyle w:val="ListParagraph"/>
        <w:numPr>
          <w:ilvl w:val="0"/>
          <w:numId w:val="17"/>
        </w:numPr>
      </w:pPr>
      <w:r>
        <w:t xml:space="preserve">Root Zadoff-Chu sequence and available cyclic shifts </w:t>
      </w:r>
    </w:p>
    <w:p w14:paraId="4C62E1C6" w14:textId="138CB5D1" w:rsidR="00AC7090" w:rsidRDefault="00AC7090" w:rsidP="009A7E0F">
      <w:pPr>
        <w:pStyle w:val="ListParagraph"/>
        <w:numPr>
          <w:ilvl w:val="0"/>
          <w:numId w:val="17"/>
        </w:numPr>
      </w:pPr>
      <w:r>
        <w:t>Time (frame, slot and timing within the slot)</w:t>
      </w:r>
      <w:r w:rsidR="00BF4C5D">
        <w:t xml:space="preserve"> and f</w:t>
      </w:r>
      <w:r>
        <w:t>requency resource</w:t>
      </w:r>
      <w:r w:rsidR="00BF4C5D">
        <w:t xml:space="preserve"> (i.e. PRB)</w:t>
      </w:r>
    </w:p>
    <w:p w14:paraId="1BFD6BC3" w14:textId="2D8E7F4D" w:rsidR="00AC7090" w:rsidRDefault="00AC7090" w:rsidP="009A7E0F">
      <w:pPr>
        <w:pStyle w:val="ListParagraph"/>
        <w:numPr>
          <w:ilvl w:val="0"/>
          <w:numId w:val="17"/>
        </w:numPr>
      </w:pPr>
      <w:r>
        <w:t xml:space="preserve">Mapping from the msg3 size to </w:t>
      </w:r>
      <w:r w:rsidR="00BF4C5D">
        <w:t>a set of sequences</w:t>
      </w:r>
      <w:r w:rsidR="009C0C75">
        <w:t xml:space="preserve"> (group A and group B)</w:t>
      </w:r>
    </w:p>
    <w:p w14:paraId="714835F4" w14:textId="6C55F2E0" w:rsidR="00BF4C5D" w:rsidRDefault="00BF4C5D" w:rsidP="009A7E0F">
      <w:pPr>
        <w:pStyle w:val="ListParagraph"/>
        <w:numPr>
          <w:ilvl w:val="0"/>
          <w:numId w:val="17"/>
        </w:numPr>
      </w:pPr>
      <w:r>
        <w:t>Mapping from the dedicated use case (hand-over, SI request, beam recovery, positioning, …) to a particular sequence</w:t>
      </w:r>
    </w:p>
    <w:p w14:paraId="38537BCE" w14:textId="58040F61" w:rsidR="00BF4C5D" w:rsidRDefault="00BF4C5D" w:rsidP="009A7E0F">
      <w:r>
        <w:t xml:space="preserve">In LTE, these parameters are provided per cell. Due to potential beam sweeping, the random access parameters will need to be provided per (downlink) beam. The beams are distinguished by different SS-blocks, and the simplest way to provide necessary random access parameters is to provide a full set of parameters for each SSB, as illustrated in </w:t>
      </w:r>
      <w:r w:rsidR="003639E1">
        <w:fldChar w:fldCharType="begin"/>
      </w:r>
      <w:r w:rsidR="003639E1">
        <w:instrText xml:space="preserve"> REF _Ref494351365 \h </w:instrText>
      </w:r>
      <w:r w:rsidR="003639E1">
        <w:fldChar w:fldCharType="separate"/>
      </w:r>
      <w:r w:rsidR="003639E1">
        <w:t xml:space="preserve">Figure </w:t>
      </w:r>
      <w:r w:rsidR="003639E1">
        <w:rPr>
          <w:noProof/>
        </w:rPr>
        <w:t>1</w:t>
      </w:r>
      <w:r w:rsidR="003639E1">
        <w:fldChar w:fldCharType="end"/>
      </w:r>
      <w:r w:rsidR="003639E1">
        <w:t xml:space="preserve"> </w:t>
      </w:r>
      <w:r>
        <w:t>for two use case</w:t>
      </w:r>
      <w:r w:rsidR="003639E1">
        <w:t>s</w:t>
      </w:r>
      <w:r>
        <w:t>, initial access and handover.</w:t>
      </w:r>
    </w:p>
    <w:p w14:paraId="17CB0446" w14:textId="400FB433" w:rsidR="00BF4C5D" w:rsidRDefault="00BF4C5D" w:rsidP="009A7E0F">
      <w:r>
        <w:t xml:space="preserve">For initial access, the network provides </w:t>
      </w:r>
      <w:r w:rsidR="009C0C75">
        <w:t xml:space="preserve">a </w:t>
      </w:r>
      <w:r>
        <w:t xml:space="preserve">UE with a configuration for n beams, each with </w:t>
      </w:r>
      <w:r w:rsidR="007852C0">
        <w:t xml:space="preserve">its </w:t>
      </w:r>
      <w:r>
        <w:t xml:space="preserve">own </w:t>
      </w:r>
      <w:r w:rsidR="009C0C75">
        <w:t>PRB (possibly shifted in time) and identical Zadoff-Chu sequences with 16 sequences reserved for both group A and group B in all beams.</w:t>
      </w:r>
    </w:p>
    <w:p w14:paraId="494F9045" w14:textId="24D18466" w:rsidR="009C0C75" w:rsidRDefault="009C0C75" w:rsidP="009A7E0F">
      <w:r>
        <w:t xml:space="preserve">For handover, the network provides another UE with </w:t>
      </w:r>
      <w:r w:rsidR="001C6E23">
        <w:t>the</w:t>
      </w:r>
      <w:r>
        <w:t xml:space="preserve"> same common configuration as for initial access for same n beams. However, in this case the network also provides a dedicated random access opportunity using a dedicated PRB and a dedicated sequence. </w:t>
      </w:r>
    </w:p>
    <w:p w14:paraId="4D32F783" w14:textId="4DE075C6" w:rsidR="00BF4C5D" w:rsidRDefault="007818CE" w:rsidP="009A7E0F">
      <w:r>
        <w:rPr>
          <w:noProof/>
          <w:lang w:val="sv-SE" w:eastAsia="sv-SE"/>
        </w:rPr>
        <w:lastRenderedPageBreak/>
        <w:drawing>
          <wp:inline distT="0" distB="0" distL="0" distR="0" wp14:anchorId="4B14060D" wp14:editId="007235E1">
            <wp:extent cx="6213600" cy="262440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3600" cy="2624400"/>
                    </a:xfrm>
                    <a:prstGeom prst="rect">
                      <a:avLst/>
                    </a:prstGeom>
                    <a:noFill/>
                  </pic:spPr>
                </pic:pic>
              </a:graphicData>
            </a:graphic>
          </wp:inline>
        </w:drawing>
      </w:r>
    </w:p>
    <w:p w14:paraId="4C50C1F5" w14:textId="0CB15F6E" w:rsidR="003639E1" w:rsidRPr="00BF7A27" w:rsidRDefault="003639E1" w:rsidP="009A7E0F">
      <w:pPr>
        <w:pStyle w:val="Caption"/>
      </w:pPr>
      <w:bookmarkStart w:id="0" w:name="_Ref494351365"/>
      <w:r>
        <w:t xml:space="preserve">Figure </w:t>
      </w:r>
      <w:r>
        <w:fldChar w:fldCharType="begin"/>
      </w:r>
      <w:r>
        <w:instrText xml:space="preserve"> SEQ Figure \* ARABIC </w:instrText>
      </w:r>
      <w:r>
        <w:fldChar w:fldCharType="separate"/>
      </w:r>
      <w:r>
        <w:rPr>
          <w:noProof/>
        </w:rPr>
        <w:t>1</w:t>
      </w:r>
      <w:r>
        <w:fldChar w:fldCharType="end"/>
      </w:r>
      <w:bookmarkEnd w:id="0"/>
      <w:r w:rsidR="004B53F1">
        <w:t xml:space="preserve"> Example of Random access configurations.</w:t>
      </w:r>
    </w:p>
    <w:p w14:paraId="44618456" w14:textId="7B51C9FD" w:rsidR="004000E8" w:rsidRPr="00CE0424" w:rsidRDefault="005B4AE4" w:rsidP="00035C7E">
      <w:pPr>
        <w:pStyle w:val="Heading2"/>
      </w:pPr>
      <w:r>
        <w:t>Preamble</w:t>
      </w:r>
      <w:r w:rsidR="006D33FA">
        <w:t>s</w:t>
      </w:r>
      <w:r w:rsidR="00035C7E">
        <w:t xml:space="preserve"> as seen in MAC</w:t>
      </w:r>
    </w:p>
    <w:p w14:paraId="6FD86BAB" w14:textId="37F3D845" w:rsidR="007242EE" w:rsidRDefault="00CD06EC" w:rsidP="007242EE">
      <w:pPr>
        <w:pStyle w:val="BodyText"/>
      </w:pPr>
      <w:r>
        <w:t>The exact definition and configuration</w:t>
      </w:r>
      <w:r w:rsidR="00670F8E">
        <w:t xml:space="preserve"> of preambles</w:t>
      </w:r>
      <w:r>
        <w:t xml:space="preserve"> is under discussion in RAN1. </w:t>
      </w:r>
      <w:r w:rsidR="00670F8E">
        <w:t>In principle,</w:t>
      </w:r>
      <w:r w:rsidR="007242EE">
        <w:t xml:space="preserve"> </w:t>
      </w:r>
      <w:r w:rsidR="009C0C75">
        <w:t xml:space="preserve">as seen above, </w:t>
      </w:r>
      <w:r w:rsidR="00B81808">
        <w:t xml:space="preserve">different random accesses can be separated by </w:t>
      </w:r>
    </w:p>
    <w:p w14:paraId="3259DBC8" w14:textId="77777777" w:rsidR="00035C7E" w:rsidRDefault="007242EE" w:rsidP="00035C7E">
      <w:pPr>
        <w:pStyle w:val="B1"/>
        <w:rPr>
          <w:lang w:val="en-US"/>
        </w:rPr>
      </w:pPr>
      <w:r w:rsidRPr="004C1BF4">
        <w:rPr>
          <w:lang w:val="en-US"/>
        </w:rPr>
        <w:t>1.</w:t>
      </w:r>
      <w:r w:rsidRPr="004C1BF4">
        <w:rPr>
          <w:lang w:val="en-US"/>
        </w:rPr>
        <w:tab/>
        <w:t xml:space="preserve">the </w:t>
      </w:r>
      <w:r w:rsidR="009C0C75">
        <w:rPr>
          <w:lang w:val="en-US"/>
        </w:rPr>
        <w:t xml:space="preserve">root index and </w:t>
      </w:r>
      <w:r w:rsidRPr="004C1BF4">
        <w:rPr>
          <w:lang w:val="en-US"/>
        </w:rPr>
        <w:t>available cyclic shifts of a Zadoff-Chu sequence</w:t>
      </w:r>
    </w:p>
    <w:p w14:paraId="530A0DDE" w14:textId="3DF0969A" w:rsidR="005E1879" w:rsidRDefault="007242EE" w:rsidP="00035C7E">
      <w:pPr>
        <w:pStyle w:val="B1"/>
        <w:rPr>
          <w:lang w:val="en-US"/>
        </w:rPr>
      </w:pPr>
      <w:r w:rsidRPr="004C1BF4">
        <w:rPr>
          <w:lang w:val="en-US"/>
        </w:rPr>
        <w:t>2.</w:t>
      </w:r>
      <w:r w:rsidRPr="004C1BF4">
        <w:rPr>
          <w:lang w:val="en-US"/>
        </w:rPr>
        <w:tab/>
        <w:t xml:space="preserve">time </w:t>
      </w:r>
      <w:r w:rsidR="00035C7E">
        <w:rPr>
          <w:lang w:val="en-US"/>
        </w:rPr>
        <w:t>of the random access occasion</w:t>
      </w:r>
    </w:p>
    <w:p w14:paraId="5CA783AB" w14:textId="0DB17DB1" w:rsidR="007242EE" w:rsidRPr="004C1BF4" w:rsidRDefault="009C0C75" w:rsidP="00035C7E">
      <w:pPr>
        <w:pStyle w:val="B1"/>
        <w:rPr>
          <w:lang w:val="en-US"/>
        </w:rPr>
      </w:pPr>
      <w:r>
        <w:rPr>
          <w:lang w:val="en-US"/>
        </w:rPr>
        <w:t>3</w:t>
      </w:r>
      <w:r w:rsidR="007242EE" w:rsidRPr="004C1BF4">
        <w:rPr>
          <w:lang w:val="en-US"/>
        </w:rPr>
        <w:t>.</w:t>
      </w:r>
      <w:r w:rsidR="007242EE" w:rsidRPr="004C1BF4">
        <w:rPr>
          <w:lang w:val="en-US"/>
        </w:rPr>
        <w:tab/>
        <w:t xml:space="preserve">frequency </w:t>
      </w:r>
      <w:r>
        <w:rPr>
          <w:lang w:val="en-US"/>
        </w:rPr>
        <w:t xml:space="preserve">of the random access occasion </w:t>
      </w:r>
    </w:p>
    <w:p w14:paraId="21731D67" w14:textId="5F89C5A9" w:rsidR="007242EE" w:rsidRDefault="007242EE" w:rsidP="007242EE">
      <w:pPr>
        <w:pStyle w:val="BodyText"/>
        <w:rPr>
          <w:lang w:val="en-US"/>
        </w:rPr>
      </w:pPr>
      <w:r>
        <w:rPr>
          <w:lang w:val="en-US"/>
        </w:rPr>
        <w:t xml:space="preserve">On a high level, this means that a </w:t>
      </w:r>
      <w:r w:rsidRPr="00F9709B">
        <w:rPr>
          <w:b/>
          <w:lang w:val="en-US"/>
        </w:rPr>
        <w:t>specific preamble</w:t>
      </w:r>
      <w:r>
        <w:rPr>
          <w:lang w:val="en-US"/>
        </w:rPr>
        <w:t xml:space="preserve"> </w:t>
      </w:r>
      <w:r w:rsidR="00B81808">
        <w:rPr>
          <w:lang w:val="en-US"/>
        </w:rPr>
        <w:t xml:space="preserve">can be </w:t>
      </w:r>
      <w:r>
        <w:rPr>
          <w:lang w:val="en-US"/>
        </w:rPr>
        <w:t>defined by its sequence (cyclic shift and root index), time (symbols within slot and/or slot) and frequency.</w:t>
      </w:r>
      <w:r w:rsidR="00B81808">
        <w:rPr>
          <w:lang w:val="en-US"/>
        </w:rPr>
        <w:t xml:space="preserve"> Note that this is different from LTE, where the preamble can be defined simply by the sequence.</w:t>
      </w:r>
    </w:p>
    <w:p w14:paraId="583BA992" w14:textId="5F474BC8" w:rsidR="007242EE" w:rsidRPr="00291A24" w:rsidRDefault="00B81808" w:rsidP="007242EE">
      <w:pPr>
        <w:rPr>
          <w:lang w:val="en-US"/>
        </w:rPr>
      </w:pPr>
      <w:bookmarkStart w:id="1" w:name="_Hlk494402196"/>
      <w:r>
        <w:rPr>
          <w:lang w:val="en-US"/>
        </w:rPr>
        <w:t xml:space="preserve">It is possible to define a preamble ID for each individual configuration of </w:t>
      </w:r>
      <w:r w:rsidR="007242EE">
        <w:rPr>
          <w:lang w:val="en-US"/>
        </w:rPr>
        <w:t>(1)-(</w:t>
      </w:r>
      <w:r>
        <w:rPr>
          <w:lang w:val="en-US"/>
        </w:rPr>
        <w:t>3</w:t>
      </w:r>
      <w:r w:rsidR="007242EE">
        <w:rPr>
          <w:lang w:val="en-US"/>
        </w:rPr>
        <w:t>)</w:t>
      </w:r>
      <w:r>
        <w:rPr>
          <w:lang w:val="en-US"/>
        </w:rPr>
        <w:t xml:space="preserve">. </w:t>
      </w:r>
      <w:r w:rsidR="007242EE">
        <w:rPr>
          <w:lang w:val="en-US"/>
        </w:rPr>
        <w:t xml:space="preserve">From a MAC perspective, </w:t>
      </w:r>
      <w:r>
        <w:rPr>
          <w:lang w:val="en-US"/>
        </w:rPr>
        <w:t>if the mapping from preamble id to sequence, time and frequency is handled by lower layers</w:t>
      </w:r>
      <w:r w:rsidR="00F00545">
        <w:rPr>
          <w:lang w:val="en-US"/>
        </w:rPr>
        <w:t xml:space="preserve">, </w:t>
      </w:r>
      <w:r w:rsidR="007242EE">
        <w:rPr>
          <w:lang w:val="en-US"/>
        </w:rPr>
        <w:t xml:space="preserve">the list of preamble </w:t>
      </w:r>
      <w:r w:rsidR="00081BC2">
        <w:rPr>
          <w:lang w:val="en-US"/>
        </w:rPr>
        <w:t>ID</w:t>
      </w:r>
      <w:r w:rsidR="007242EE">
        <w:rPr>
          <w:lang w:val="en-US"/>
        </w:rPr>
        <w:t xml:space="preserve">s is </w:t>
      </w:r>
      <w:r w:rsidR="00670F8E">
        <w:rPr>
          <w:lang w:val="en-US"/>
        </w:rPr>
        <w:t xml:space="preserve">sufficient </w:t>
      </w:r>
      <w:r w:rsidR="00CD06EC">
        <w:rPr>
          <w:lang w:val="en-US"/>
        </w:rPr>
        <w:t xml:space="preserve">and </w:t>
      </w:r>
      <w:r w:rsidR="00F00545">
        <w:rPr>
          <w:lang w:val="en-US"/>
        </w:rPr>
        <w:t xml:space="preserve">the physical layer details </w:t>
      </w:r>
      <w:r w:rsidR="00CD06EC">
        <w:rPr>
          <w:lang w:val="en-US"/>
        </w:rPr>
        <w:t>need not be visible to MAC</w:t>
      </w:r>
      <w:r w:rsidR="008B169E">
        <w:rPr>
          <w:lang w:val="en-US"/>
        </w:rPr>
        <w:t xml:space="preserve">. It should be noted that, as in LTE, the preamble group configuration is </w:t>
      </w:r>
      <w:r w:rsidR="00BE63EB">
        <w:rPr>
          <w:lang w:val="en-US"/>
        </w:rPr>
        <w:t xml:space="preserve">only </w:t>
      </w:r>
      <w:r w:rsidR="008B169E">
        <w:rPr>
          <w:lang w:val="en-US"/>
        </w:rPr>
        <w:t>visible in MAC</w:t>
      </w:r>
      <w:r w:rsidR="00CD06EC">
        <w:rPr>
          <w:lang w:val="en-US"/>
        </w:rPr>
        <w:t>.</w:t>
      </w:r>
      <w:r w:rsidR="006C50E5">
        <w:rPr>
          <w:lang w:val="en-US"/>
        </w:rPr>
        <w:t xml:space="preserve"> </w:t>
      </w:r>
      <w:r w:rsidR="00670F8E">
        <w:rPr>
          <w:lang w:val="en-US"/>
        </w:rPr>
        <w:t>Hence, t</w:t>
      </w:r>
      <w:r w:rsidR="006C50E5" w:rsidRPr="00291A24">
        <w:rPr>
          <w:lang w:val="en-US"/>
        </w:rPr>
        <w:t xml:space="preserve">he term preamble </w:t>
      </w:r>
      <w:r w:rsidR="00F00545">
        <w:rPr>
          <w:lang w:val="en-US"/>
        </w:rPr>
        <w:t xml:space="preserve">can be defined in </w:t>
      </w:r>
      <w:r w:rsidR="006C50E5" w:rsidRPr="00291A24">
        <w:rPr>
          <w:lang w:val="en-US"/>
        </w:rPr>
        <w:t xml:space="preserve">MAC </w:t>
      </w:r>
      <w:r w:rsidR="00F00545">
        <w:rPr>
          <w:lang w:val="en-US"/>
        </w:rPr>
        <w:t xml:space="preserve">to be </w:t>
      </w:r>
      <w:r w:rsidR="006C50E5" w:rsidRPr="00291A24">
        <w:rPr>
          <w:lang w:val="en-US"/>
        </w:rPr>
        <w:t xml:space="preserve">equivalent to </w:t>
      </w:r>
      <w:r w:rsidR="00F00545">
        <w:rPr>
          <w:lang w:val="en-US"/>
        </w:rPr>
        <w:t xml:space="preserve">the </w:t>
      </w:r>
      <w:r w:rsidR="006C50E5" w:rsidRPr="00291A24">
        <w:rPr>
          <w:lang w:val="en-US"/>
        </w:rPr>
        <w:t xml:space="preserve">preamble </w:t>
      </w:r>
      <w:r w:rsidR="00081BC2">
        <w:rPr>
          <w:lang w:val="en-US"/>
        </w:rPr>
        <w:t>ID</w:t>
      </w:r>
      <w:r w:rsidR="006C50E5" w:rsidRPr="00291A24">
        <w:rPr>
          <w:lang w:val="en-US"/>
        </w:rPr>
        <w:t>.</w:t>
      </w:r>
    </w:p>
    <w:p w14:paraId="3123C8CA" w14:textId="70E1AAD2" w:rsidR="00CD06EC" w:rsidRPr="00CD06EC" w:rsidRDefault="00291A24" w:rsidP="00035C7E">
      <w:pPr>
        <w:pStyle w:val="Observation"/>
      </w:pPr>
      <w:bookmarkStart w:id="2" w:name="_Toc494205137"/>
      <w:bookmarkStart w:id="3" w:name="_Toc494273858"/>
      <w:bookmarkStart w:id="4" w:name="_Toc494391007"/>
      <w:bookmarkEnd w:id="1"/>
      <w:r w:rsidRPr="00035C7E">
        <w:rPr>
          <w:lang w:val="en-US"/>
        </w:rPr>
        <w:t xml:space="preserve">Preamble is in MAC equivalent to preamble </w:t>
      </w:r>
      <w:r w:rsidR="00081BC2" w:rsidRPr="00035C7E">
        <w:rPr>
          <w:lang w:val="en-US"/>
        </w:rPr>
        <w:t>ID</w:t>
      </w:r>
      <w:r w:rsidR="00CD06EC" w:rsidRPr="00035C7E">
        <w:rPr>
          <w:lang w:val="en-US"/>
        </w:rPr>
        <w:t xml:space="preserve">. The mapping from preamble </w:t>
      </w:r>
      <w:r w:rsidR="00081BC2" w:rsidRPr="00035C7E">
        <w:rPr>
          <w:lang w:val="en-US"/>
        </w:rPr>
        <w:t xml:space="preserve">ID </w:t>
      </w:r>
      <w:r w:rsidR="00CD06EC" w:rsidRPr="00035C7E">
        <w:rPr>
          <w:lang w:val="en-US"/>
        </w:rPr>
        <w:t>to sequence, time and frequency is handled by lower layers and need not be visible to MAC.</w:t>
      </w:r>
      <w:bookmarkEnd w:id="2"/>
      <w:bookmarkEnd w:id="3"/>
      <w:bookmarkEnd w:id="4"/>
    </w:p>
    <w:p w14:paraId="44DAB337" w14:textId="77777777" w:rsidR="007242EE" w:rsidRPr="007242EE" w:rsidRDefault="007242EE" w:rsidP="007242EE">
      <w:pPr>
        <w:pStyle w:val="Heading2"/>
        <w:rPr>
          <w:lang w:val="en-US"/>
        </w:rPr>
      </w:pPr>
      <w:r>
        <w:rPr>
          <w:lang w:val="en-US"/>
        </w:rPr>
        <w:t>Preamble mappings</w:t>
      </w:r>
    </w:p>
    <w:p w14:paraId="151A29E9" w14:textId="516B9BBC" w:rsidR="005B4AE4" w:rsidRDefault="005B4AE4" w:rsidP="00035C7E">
      <w:pPr>
        <w:pStyle w:val="BodyText"/>
        <w:rPr>
          <w:color w:val="000000" w:themeColor="text1"/>
        </w:rPr>
      </w:pPr>
      <w:r>
        <w:rPr>
          <w:lang w:val="en-US"/>
        </w:rPr>
        <w:t xml:space="preserve">It has </w:t>
      </w:r>
      <w:r w:rsidR="007F2127">
        <w:rPr>
          <w:lang w:val="en-US"/>
        </w:rPr>
        <w:t xml:space="preserve">previously </w:t>
      </w:r>
      <w:r>
        <w:rPr>
          <w:lang w:val="en-US"/>
        </w:rPr>
        <w:t xml:space="preserve">been agreed that the preamble will indicate </w:t>
      </w:r>
      <w:r w:rsidR="00CD06EC">
        <w:rPr>
          <w:lang w:val="en-US"/>
        </w:rPr>
        <w:t>or be used for</w:t>
      </w:r>
    </w:p>
    <w:p w14:paraId="27C69CD3" w14:textId="47D6E1EE" w:rsidR="005B4AE4" w:rsidRDefault="00035C7E" w:rsidP="00035C7E">
      <w:pPr>
        <w:pStyle w:val="B1"/>
      </w:pPr>
      <w:r>
        <w:t>-</w:t>
      </w:r>
      <w:r>
        <w:tab/>
      </w:r>
      <w:r w:rsidR="005B4AE4" w:rsidRPr="00EA2489">
        <w:t xml:space="preserve">Contention based </w:t>
      </w:r>
      <w:r w:rsidR="005B4AE4">
        <w:t xml:space="preserve">random access </w:t>
      </w:r>
      <w:r w:rsidR="005B4AE4" w:rsidRPr="00EA2489">
        <w:t xml:space="preserve">with request for MSG3 size </w:t>
      </w:r>
      <w:r w:rsidR="005B4AE4">
        <w:t>less than a defined threshold</w:t>
      </w:r>
      <w:r w:rsidR="005B4AE4" w:rsidRPr="00EA2489">
        <w:t xml:space="preserve"> </w:t>
      </w:r>
    </w:p>
    <w:p w14:paraId="097B0194" w14:textId="5199C6B5" w:rsidR="005B4AE4" w:rsidRDefault="00035C7E" w:rsidP="00035C7E">
      <w:pPr>
        <w:pStyle w:val="B1"/>
      </w:pPr>
      <w:r>
        <w:t>-</w:t>
      </w:r>
      <w:r>
        <w:tab/>
      </w:r>
      <w:r w:rsidR="005B4AE4" w:rsidRPr="000131CE">
        <w:t xml:space="preserve">Contention based </w:t>
      </w:r>
      <w:r w:rsidR="005B4AE4">
        <w:t xml:space="preserve">random access </w:t>
      </w:r>
      <w:r w:rsidR="005B4AE4" w:rsidRPr="000131CE">
        <w:t xml:space="preserve">with request for MSG3 size </w:t>
      </w:r>
      <w:r w:rsidR="005B4AE4">
        <w:t>larger than a defined threshold</w:t>
      </w:r>
      <w:r w:rsidR="005B4AE4" w:rsidRPr="000131CE">
        <w:t xml:space="preserve"> </w:t>
      </w:r>
    </w:p>
    <w:p w14:paraId="4EF843B6" w14:textId="7F33D340" w:rsidR="005B4AE4" w:rsidRDefault="00035C7E" w:rsidP="00035C7E">
      <w:pPr>
        <w:pStyle w:val="B1"/>
      </w:pPr>
      <w:r>
        <w:t>-</w:t>
      </w:r>
      <w:r>
        <w:tab/>
      </w:r>
      <w:r w:rsidR="005B4AE4" w:rsidRPr="000131CE">
        <w:t>Contention free for beam recovery request</w:t>
      </w:r>
    </w:p>
    <w:p w14:paraId="254A78C2" w14:textId="1695B4AD" w:rsidR="005B4AE4" w:rsidRDefault="00035C7E" w:rsidP="00035C7E">
      <w:pPr>
        <w:pStyle w:val="B1"/>
      </w:pPr>
      <w:r>
        <w:t>-</w:t>
      </w:r>
      <w:r>
        <w:tab/>
      </w:r>
      <w:r w:rsidR="005B4AE4" w:rsidRPr="000131CE">
        <w:t xml:space="preserve">Contention free for SI request </w:t>
      </w:r>
    </w:p>
    <w:p w14:paraId="35076393" w14:textId="78530710" w:rsidR="005B4AE4" w:rsidRDefault="00035C7E" w:rsidP="00035C7E">
      <w:pPr>
        <w:pStyle w:val="B1"/>
      </w:pPr>
      <w:r>
        <w:t>-</w:t>
      </w:r>
      <w:r>
        <w:tab/>
      </w:r>
      <w:r w:rsidR="005B4AE4" w:rsidRPr="000131CE">
        <w:t>Contention free for handover</w:t>
      </w:r>
    </w:p>
    <w:p w14:paraId="7783C19C" w14:textId="5DB91421" w:rsidR="005B4AE4" w:rsidRPr="000131CE" w:rsidRDefault="00035C7E" w:rsidP="00035C7E">
      <w:pPr>
        <w:pStyle w:val="B1"/>
      </w:pPr>
      <w:r>
        <w:t>-</w:t>
      </w:r>
      <w:r>
        <w:tab/>
      </w:r>
      <w:r w:rsidR="005B4AE4" w:rsidRPr="000131CE">
        <w:t>Contention fr</w:t>
      </w:r>
      <w:r w:rsidR="005B4AE4">
        <w:t>ee for uplink based positioning</w:t>
      </w:r>
    </w:p>
    <w:p w14:paraId="78303092" w14:textId="46939278" w:rsidR="00CD06EC" w:rsidRDefault="00CD06EC" w:rsidP="00CE0424">
      <w:pPr>
        <w:pStyle w:val="BodyText"/>
        <w:rPr>
          <w:lang w:val="en-US"/>
        </w:rPr>
      </w:pPr>
      <w:r>
        <w:rPr>
          <w:lang w:val="en-US"/>
        </w:rPr>
        <w:t xml:space="preserve">For the MAC layer, this means that a mapping needs to be configured that maps every preamble </w:t>
      </w:r>
      <w:r w:rsidR="00EB2BBE">
        <w:rPr>
          <w:lang w:val="en-US"/>
        </w:rPr>
        <w:t xml:space="preserve">ID </w:t>
      </w:r>
      <w:r>
        <w:rPr>
          <w:lang w:val="en-US"/>
        </w:rPr>
        <w:t>to one of the above categories.</w:t>
      </w:r>
      <w:r w:rsidR="00AE35C3">
        <w:rPr>
          <w:lang w:val="en-US"/>
        </w:rPr>
        <w:t xml:space="preserve"> </w:t>
      </w:r>
    </w:p>
    <w:p w14:paraId="6BC44793" w14:textId="0AF74DE3" w:rsidR="006C50E5" w:rsidRDefault="005B4AE4" w:rsidP="00281BDD">
      <w:pPr>
        <w:pStyle w:val="BodyText"/>
        <w:rPr>
          <w:rFonts w:cs="Arial"/>
          <w:lang w:val="en-US"/>
        </w:rPr>
      </w:pPr>
      <w:r>
        <w:rPr>
          <w:lang w:val="en-US"/>
        </w:rPr>
        <w:lastRenderedPageBreak/>
        <w:t xml:space="preserve">As agreed in RAN1#88, the UE is </w:t>
      </w:r>
      <w:r w:rsidR="00AE35C3">
        <w:rPr>
          <w:lang w:val="en-US"/>
        </w:rPr>
        <w:t xml:space="preserve">also </w:t>
      </w:r>
      <w:r>
        <w:rPr>
          <w:lang w:val="en-US"/>
        </w:rPr>
        <w:t>able to indicate SS block index of the best SS block (i.e. indicating the best DL beam from the gNB)</w:t>
      </w:r>
      <w:r w:rsidRPr="00827F28">
        <w:rPr>
          <w:lang w:val="en-US"/>
        </w:rPr>
        <w:t xml:space="preserve"> with</w:t>
      </w:r>
      <w:r>
        <w:rPr>
          <w:lang w:val="en-US"/>
        </w:rPr>
        <w:t xml:space="preserve"> </w:t>
      </w:r>
      <w:r>
        <w:t>PRACH resources and/or preambles</w:t>
      </w:r>
      <w:r w:rsidRPr="00827F28">
        <w:rPr>
          <w:lang w:val="en-US"/>
        </w:rPr>
        <w:t>.</w:t>
      </w:r>
      <w:r>
        <w:rPr>
          <w:lang w:val="en-US"/>
        </w:rPr>
        <w:t xml:space="preserve"> </w:t>
      </w:r>
      <w:r>
        <w:t>Since the Random Access procedure is never used</w:t>
      </w:r>
      <w:r w:rsidR="007F2127">
        <w:t xml:space="preserve"> only</w:t>
      </w:r>
      <w:r>
        <w:t xml:space="preserve"> to indicate </w:t>
      </w:r>
      <w:r w:rsidR="007F2127">
        <w:t xml:space="preserve">the </w:t>
      </w:r>
      <w:r>
        <w:t xml:space="preserve">best SSB, any association to an SSB is also coupled to another association, </w:t>
      </w:r>
      <w:r w:rsidR="00E65BB9">
        <w:t xml:space="preserve">i.e. one of </w:t>
      </w:r>
      <w:r w:rsidR="00AE35C3">
        <w:t>the categories above</w:t>
      </w:r>
      <w:r w:rsidR="00E65BB9">
        <w:t>.</w:t>
      </w:r>
      <w:r w:rsidR="006C50E5">
        <w:t xml:space="preserve"> This </w:t>
      </w:r>
      <w:r w:rsidR="00670F8E">
        <w:t>implies</w:t>
      </w:r>
      <w:r w:rsidR="006C50E5">
        <w:t xml:space="preserve"> that the preamble mappings to categories must be done for each SSB. </w:t>
      </w:r>
      <w:r w:rsidR="006C50E5" w:rsidRPr="00250757">
        <w:rPr>
          <w:lang w:val="en-US"/>
        </w:rPr>
        <w:t xml:space="preserve">With an equal number of preambles associated with each SS-block in an SS-burst set, then the maximum number of preambles in each cell, denoted by </w:t>
      </w:r>
      <m:oMath>
        <m:r>
          <w:rPr>
            <w:rFonts w:ascii="Cambria Math" w:eastAsia="SimSun" w:hAnsi="Cambria Math"/>
          </w:rPr>
          <m:t>N</m:t>
        </m:r>
      </m:oMath>
      <w:r w:rsidR="006C50E5" w:rsidRPr="00250757">
        <w:rPr>
          <w:lang w:val="en-US"/>
        </w:rPr>
        <w:t xml:space="preserve">, can be written as </w:t>
      </w:r>
      <m:oMath>
        <m:r>
          <w:rPr>
            <w:rFonts w:ascii="Cambria Math" w:eastAsia="SimSun" w:hAnsi="Cambria Math"/>
          </w:rPr>
          <m:t>N</m:t>
        </m:r>
        <m:r>
          <w:rPr>
            <w:rFonts w:ascii="Cambria Math" w:eastAsia="SimSun" w:hAnsi="Cambria Math"/>
            <w:lang w:val="en-US"/>
          </w:rPr>
          <m:t xml:space="preserve">= </m:t>
        </m:r>
        <m:r>
          <w:rPr>
            <w:rFonts w:ascii="Cambria Math" w:eastAsia="SimSun" w:hAnsi="Cambria Math"/>
          </w:rPr>
          <m:t>L</m:t>
        </m:r>
        <m:r>
          <w:rPr>
            <w:rFonts w:ascii="Cambria Math" w:eastAsia="SimSun" w:hAnsi="Cambria Math"/>
            <w:lang w:val="en-US"/>
          </w:rPr>
          <m:t xml:space="preserve"> ∙ </m:t>
        </m:r>
        <m:r>
          <w:rPr>
            <w:rFonts w:ascii="Cambria Math" w:eastAsia="SimSun" w:hAnsi="Cambria Math"/>
          </w:rPr>
          <m:t>Q</m:t>
        </m:r>
      </m:oMath>
      <w:r w:rsidR="006C50E5" w:rsidRPr="00250757">
        <w:rPr>
          <w:lang w:val="en-US"/>
        </w:rPr>
        <w:t xml:space="preserve"> where </w:t>
      </w:r>
      <m:oMath>
        <m:r>
          <w:rPr>
            <w:rFonts w:ascii="Cambria Math" w:eastAsia="SimSun" w:hAnsi="Cambria Math"/>
          </w:rPr>
          <m:t>L</m:t>
        </m:r>
        <m:r>
          <w:rPr>
            <w:rFonts w:ascii="Cambria Math" w:eastAsia="SimSun" w:hAnsi="Cambria Math"/>
            <w:lang w:val="en-US"/>
          </w:rPr>
          <m:t xml:space="preserve"> </m:t>
        </m:r>
      </m:oMath>
      <w:r w:rsidR="006C50E5" w:rsidRPr="00250757">
        <w:rPr>
          <w:lang w:val="en-US"/>
        </w:rPr>
        <w:t xml:space="preserve"> is the maximum number of SS-blocks and </w:t>
      </w:r>
      <m:oMath>
        <m:r>
          <w:rPr>
            <w:rFonts w:ascii="Cambria Math" w:eastAsia="SimSun" w:hAnsi="Cambria Math"/>
          </w:rPr>
          <m:t>Q</m:t>
        </m:r>
      </m:oMath>
      <w:r w:rsidR="006C50E5" w:rsidRPr="00250757">
        <w:rPr>
          <w:lang w:val="en-US"/>
        </w:rPr>
        <w:t xml:space="preserve"> is the number of preamble</w:t>
      </w:r>
      <w:r w:rsidR="00281BDD">
        <w:rPr>
          <w:lang w:val="en-US"/>
        </w:rPr>
        <w:t>s associated to each SS-block.</w:t>
      </w:r>
      <w:r w:rsidR="00D977AB">
        <w:rPr>
          <w:lang w:val="en-US"/>
        </w:rPr>
        <w:t xml:space="preserve"> As the number of SSBs can be up to 64 in wide SCS, the total number of preambles per cell will in many cases be larger than the 64 in LTE.</w:t>
      </w:r>
    </w:p>
    <w:p w14:paraId="63FABA07" w14:textId="174C47A3" w:rsidR="006C50E5" w:rsidRDefault="006C50E5" w:rsidP="006C50E5">
      <w:pPr>
        <w:pStyle w:val="BodyText"/>
      </w:pPr>
      <w:r w:rsidRPr="006C50E5">
        <w:t xml:space="preserve">An illustration </w:t>
      </w:r>
      <w:r>
        <w:t xml:space="preserve">for two SSBs is shown in in </w:t>
      </w:r>
      <w:r>
        <w:fldChar w:fldCharType="begin"/>
      </w:r>
      <w:r>
        <w:instrText xml:space="preserve"> REF _Ref493680426 \h </w:instrText>
      </w:r>
      <w:r>
        <w:fldChar w:fldCharType="separate"/>
      </w:r>
      <w:r w:rsidR="006E3D30">
        <w:t xml:space="preserve">Figure </w:t>
      </w:r>
      <w:r w:rsidR="006E3D30">
        <w:rPr>
          <w:noProof/>
        </w:rPr>
        <w:t>2</w:t>
      </w:r>
      <w:r>
        <w:fldChar w:fldCharType="end"/>
      </w:r>
      <w:r>
        <w:t>. Here the 3 first preambles are configured for preambleGroupA and SSB 1, the 4</w:t>
      </w:r>
      <w:r w:rsidRPr="004C1BF4">
        <w:rPr>
          <w:vertAlign w:val="superscript"/>
        </w:rPr>
        <w:t>th</w:t>
      </w:r>
      <w:r>
        <w:t xml:space="preserve"> and 5</w:t>
      </w:r>
      <w:r w:rsidRPr="004C1BF4">
        <w:rPr>
          <w:vertAlign w:val="superscript"/>
        </w:rPr>
        <w:t>th</w:t>
      </w:r>
      <w:r>
        <w:t xml:space="preserve"> are assigned to indicate </w:t>
      </w:r>
      <w:r w:rsidR="000237DC">
        <w:t xml:space="preserve">preambleGroupB </w:t>
      </w:r>
      <w:r>
        <w:t>and SSB 1. Preamble 6 and 7 are in the same way configured to indicate SI requests and and SSB 1. Finally, the 8</w:t>
      </w:r>
      <w:r w:rsidRPr="004C1BF4">
        <w:rPr>
          <w:vertAlign w:val="superscript"/>
        </w:rPr>
        <w:t>th</w:t>
      </w:r>
      <w:r>
        <w:t xml:space="preserve"> and 9</w:t>
      </w:r>
      <w:r w:rsidRPr="004C1BF4">
        <w:rPr>
          <w:vertAlign w:val="superscript"/>
        </w:rPr>
        <w:t>th</w:t>
      </w:r>
      <w:r>
        <w:t xml:space="preserve"> preamble are reserved for dedicated preambles and SSB1. For SSB2, the corresponding configuration is done and can be deduced from the configuration of preamble 1 to preamble 9 </w:t>
      </w:r>
      <w:r w:rsidR="00281BDD">
        <w:t>and</w:t>
      </w:r>
      <w:r>
        <w:t xml:space="preserve"> the knowledge that there are two SSBs.</w:t>
      </w:r>
    </w:p>
    <w:p w14:paraId="24BF807A" w14:textId="0A0BC6D4" w:rsidR="006C50E5" w:rsidRDefault="006C50E5" w:rsidP="006C50E5">
      <w:pPr>
        <w:pStyle w:val="BodyText"/>
        <w:jc w:val="center"/>
      </w:pPr>
      <w:r>
        <w:rPr>
          <w:noProof/>
          <w:lang w:val="sv-SE" w:eastAsia="sv-SE"/>
        </w:rPr>
        <w:drawing>
          <wp:inline distT="0" distB="0" distL="0" distR="0" wp14:anchorId="2759E83C" wp14:editId="3F2F166C">
            <wp:extent cx="4428000" cy="277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8000" cy="2779200"/>
                    </a:xfrm>
                    <a:prstGeom prst="rect">
                      <a:avLst/>
                    </a:prstGeom>
                    <a:noFill/>
                  </pic:spPr>
                </pic:pic>
              </a:graphicData>
            </a:graphic>
          </wp:inline>
        </w:drawing>
      </w:r>
    </w:p>
    <w:p w14:paraId="61B08B4E" w14:textId="40DD2953" w:rsidR="006C50E5" w:rsidRDefault="006C50E5" w:rsidP="006C50E5">
      <w:pPr>
        <w:pStyle w:val="Caption"/>
      </w:pPr>
      <w:bookmarkStart w:id="5" w:name="_Ref493680426"/>
      <w:r>
        <w:t xml:space="preserve">Figure </w:t>
      </w:r>
      <w:r>
        <w:fldChar w:fldCharType="begin"/>
      </w:r>
      <w:r>
        <w:instrText xml:space="preserve"> SEQ Figure \* ARABIC </w:instrText>
      </w:r>
      <w:r>
        <w:fldChar w:fldCharType="separate"/>
      </w:r>
      <w:r w:rsidR="003639E1">
        <w:rPr>
          <w:noProof/>
        </w:rPr>
        <w:t>2</w:t>
      </w:r>
      <w:r>
        <w:fldChar w:fldCharType="end"/>
      </w:r>
      <w:bookmarkEnd w:id="5"/>
      <w:r>
        <w:t xml:space="preserve"> Example of preamble allocation for two SS blocks</w:t>
      </w:r>
    </w:p>
    <w:p w14:paraId="50386024" w14:textId="77777777" w:rsidR="00F9709B" w:rsidRPr="00E9361D" w:rsidRDefault="00F9709B" w:rsidP="00F9709B">
      <w:pPr>
        <w:pStyle w:val="Proposal"/>
        <w:rPr>
          <w:lang w:val="en-US"/>
        </w:rPr>
      </w:pPr>
      <w:bookmarkStart w:id="6" w:name="_Toc494356369"/>
      <w:bookmarkStart w:id="7" w:name="_Toc494356370"/>
      <w:bookmarkStart w:id="8" w:name="_Toc494391011"/>
      <w:bookmarkEnd w:id="6"/>
      <w:r w:rsidRPr="00E9361D">
        <w:rPr>
          <w:lang w:val="en-US"/>
        </w:rPr>
        <w:t xml:space="preserve">Random access preamble set is </w:t>
      </w:r>
      <w:r>
        <w:rPr>
          <w:lang w:val="en-US"/>
        </w:rPr>
        <w:t>allocated</w:t>
      </w:r>
      <w:r w:rsidRPr="00E9361D">
        <w:rPr>
          <w:lang w:val="en-US"/>
        </w:rPr>
        <w:t xml:space="preserve"> per SSB</w:t>
      </w:r>
      <w:bookmarkEnd w:id="7"/>
      <w:bookmarkEnd w:id="8"/>
    </w:p>
    <w:p w14:paraId="174B1C3A" w14:textId="39C8FDA6" w:rsidR="0027144F" w:rsidRPr="00CE0424" w:rsidRDefault="007F2127" w:rsidP="00CE0424">
      <w:pPr>
        <w:pStyle w:val="BodyText"/>
      </w:pPr>
      <w:bookmarkStart w:id="9" w:name="_Toc494183897"/>
      <w:bookmarkEnd w:id="9"/>
      <w:r>
        <w:rPr>
          <w:lang w:val="en-US"/>
        </w:rPr>
        <w:t>During the</w:t>
      </w:r>
      <w:r w:rsidR="00281BDD">
        <w:t xml:space="preserve"> random access</w:t>
      </w:r>
      <w:r>
        <w:t xml:space="preserve"> procedure, the UE</w:t>
      </w:r>
      <w:r w:rsidR="005B4AE4">
        <w:t xml:space="preserve"> will randomly select a preamble </w:t>
      </w:r>
      <w:r w:rsidR="00EB2BBE">
        <w:t xml:space="preserve">ID </w:t>
      </w:r>
      <w:r w:rsidR="00281BDD">
        <w:t xml:space="preserve">(if contention based) or select a preamble </w:t>
      </w:r>
      <w:r w:rsidR="00EB2BBE">
        <w:t xml:space="preserve">ID </w:t>
      </w:r>
      <w:r w:rsidR="005B4AE4">
        <w:t>which is mapped to</w:t>
      </w:r>
      <w:r w:rsidR="00281BDD">
        <w:t xml:space="preserve"> the category of the Random Access and SSB.</w:t>
      </w:r>
      <w:r w:rsidR="005B4AE4">
        <w:t xml:space="preserve"> </w:t>
      </w:r>
    </w:p>
    <w:p w14:paraId="7CE6E9F6" w14:textId="77777777" w:rsidR="00CE0424" w:rsidRDefault="00281BDD" w:rsidP="00035C7E">
      <w:pPr>
        <w:pStyle w:val="Heading2"/>
      </w:pPr>
      <w:r>
        <w:t>Implications for RAR</w:t>
      </w:r>
    </w:p>
    <w:p w14:paraId="7BD2E820" w14:textId="5843D69E" w:rsidR="00C3435C" w:rsidRDefault="00D977AB" w:rsidP="00281BDD">
      <w:r>
        <w:t>The introduction of</w:t>
      </w:r>
      <w:r w:rsidR="00C3435C">
        <w:t xml:space="preserve"> more </w:t>
      </w:r>
      <w:r w:rsidR="002444CE">
        <w:t>detailed</w:t>
      </w:r>
      <w:r>
        <w:t xml:space="preserve"> preamble mappings</w:t>
      </w:r>
      <w:r w:rsidR="00C3435C">
        <w:t xml:space="preserve"> than in LTE</w:t>
      </w:r>
      <w:r>
        <w:t xml:space="preserve"> and the resulting increase of preambles per cell will have implications on the RAR. </w:t>
      </w:r>
    </w:p>
    <w:p w14:paraId="1D6878AD" w14:textId="4FA6637E" w:rsidR="00DD3219" w:rsidRDefault="00C3435C" w:rsidP="00281BDD">
      <w:r>
        <w:t>An</w:t>
      </w:r>
      <w:r w:rsidR="00D977AB">
        <w:t xml:space="preserve"> </w:t>
      </w:r>
      <w:r>
        <w:t xml:space="preserve">important task </w:t>
      </w:r>
      <w:r w:rsidR="00D977AB">
        <w:t xml:space="preserve">of the </w:t>
      </w:r>
      <w:r>
        <w:t xml:space="preserve">RAR is to acknowledge </w:t>
      </w:r>
      <w:r w:rsidR="002444CE">
        <w:t>the UE of a</w:t>
      </w:r>
      <w:r>
        <w:t xml:space="preserve"> detected preamble. In LTE, this is done with a 6 bit RAPID in the MAC sub header containing the preamble id combined with the RA-RNTI, which identifies the time and frequency where the preamble was detected. The same principle can be used in NR, but taking the increased number of preambles into account. In</w:t>
      </w:r>
      <w:r w:rsidR="006E3D30">
        <w:t xml:space="preserve"> </w:t>
      </w:r>
      <w:r w:rsidR="006E3D30">
        <w:fldChar w:fldCharType="begin"/>
      </w:r>
      <w:r w:rsidR="006E3D30">
        <w:instrText xml:space="preserve"> REF _Ref494372417 \n \h </w:instrText>
      </w:r>
      <w:r w:rsidR="006E3D30">
        <w:fldChar w:fldCharType="separate"/>
      </w:r>
      <w:r w:rsidR="006E3D30">
        <w:t>[1]</w:t>
      </w:r>
      <w:r w:rsidR="006E3D30">
        <w:fldChar w:fldCharType="end"/>
      </w:r>
      <w:r>
        <w:t xml:space="preserve"> we propose a new RA-RNTI formula which incorporates the increased number of slots and the SSB index. </w:t>
      </w:r>
      <w:r w:rsidR="00DD3219">
        <w:t>The new formula is given by</w:t>
      </w:r>
    </w:p>
    <w:p w14:paraId="3CF1561D" w14:textId="67FFF007" w:rsidR="00DD3219" w:rsidRPr="00374552" w:rsidRDefault="00DD3219" w:rsidP="00DD3219">
      <w:pPr>
        <w:rPr>
          <w:rFonts w:ascii="Verdana" w:hAnsi="Verdana"/>
          <w:i/>
          <w:color w:val="000000"/>
          <w:shd w:val="clear" w:color="auto" w:fill="FFFFFF"/>
          <w:lang w:val="en-US" w:eastAsia="sv-SE"/>
        </w:rPr>
      </w:pPr>
      <w:r w:rsidRPr="00374552">
        <w:rPr>
          <w:rFonts w:ascii="Verdana" w:hAnsi="Verdana"/>
          <w:i/>
          <w:color w:val="000000"/>
          <w:shd w:val="clear" w:color="auto" w:fill="FFFFFF"/>
          <w:lang w:val="en-US"/>
        </w:rPr>
        <w:t>RA-RNTI = 1 + t_id +</w:t>
      </w:r>
      <w:r w:rsidR="00281B7B">
        <w:rPr>
          <w:rFonts w:ascii="Verdana" w:hAnsi="Verdana"/>
          <w:i/>
          <w:color w:val="000000"/>
          <w:shd w:val="clear" w:color="auto" w:fill="FFFFFF"/>
          <w:lang w:val="en-US"/>
        </w:rPr>
        <w:t>X</w:t>
      </w:r>
      <w:r w:rsidRPr="00374552">
        <w:rPr>
          <w:rFonts w:ascii="Verdana" w:hAnsi="Verdana"/>
          <w:i/>
          <w:color w:val="000000"/>
          <w:shd w:val="clear" w:color="auto" w:fill="FFFFFF"/>
          <w:lang w:val="en-US"/>
        </w:rPr>
        <w:t xml:space="preserve">*SSB_index + </w:t>
      </w:r>
      <w:r w:rsidR="00281B7B">
        <w:rPr>
          <w:rFonts w:ascii="Verdana" w:hAnsi="Verdana"/>
          <w:i/>
          <w:color w:val="000000"/>
          <w:shd w:val="clear" w:color="auto" w:fill="FFFFFF"/>
          <w:lang w:val="en-US"/>
        </w:rPr>
        <w:t>X</w:t>
      </w:r>
      <w:r w:rsidRPr="00374552">
        <w:rPr>
          <w:rFonts w:ascii="Verdana" w:hAnsi="Verdana"/>
          <w:i/>
          <w:color w:val="000000"/>
          <w:shd w:val="clear" w:color="auto" w:fill="FFFFFF"/>
          <w:lang w:val="en-US"/>
        </w:rPr>
        <w:t>*64 * f_id</w:t>
      </w:r>
    </w:p>
    <w:p w14:paraId="0DC4EF27" w14:textId="50D65226" w:rsidR="00DD3219" w:rsidRDefault="00DD3219" w:rsidP="00DD3219">
      <w:r w:rsidRPr="00374552">
        <w:rPr>
          <w:lang w:val="en-US"/>
        </w:rPr>
        <w:t>Where t_id is the slot</w:t>
      </w:r>
      <w:r w:rsidR="00281B7B">
        <w:rPr>
          <w:lang w:val="en-US"/>
        </w:rPr>
        <w:t xml:space="preserve"> index</w:t>
      </w:r>
      <w:r w:rsidRPr="00374552">
        <w:rPr>
          <w:lang w:val="en-US"/>
        </w:rPr>
        <w:t xml:space="preserve"> in the radio</w:t>
      </w:r>
      <w:r w:rsidR="00281B7B">
        <w:rPr>
          <w:lang w:val="en-US"/>
        </w:rPr>
        <w:t xml:space="preserve"> </w:t>
      </w:r>
      <w:r w:rsidRPr="00374552">
        <w:rPr>
          <w:lang w:val="en-US"/>
        </w:rPr>
        <w:t>frame when the NR-RACH preamble was detected by gNB,</w:t>
      </w:r>
      <w:r w:rsidR="00281B7B">
        <w:rPr>
          <w:lang w:val="en-US"/>
        </w:rPr>
        <w:t xml:space="preserve"> X is the total number of slots in a radio frame </w:t>
      </w:r>
      <w:r w:rsidR="00281B7B" w:rsidRPr="00374552">
        <w:rPr>
          <w:lang w:val="en-US"/>
        </w:rPr>
        <w:t>(</w:t>
      </w:r>
      <w:r w:rsidR="00281B7B">
        <w:rPr>
          <w:lang w:val="en-US"/>
        </w:rPr>
        <w:t>there are</w:t>
      </w:r>
      <w:r w:rsidR="00281B7B" w:rsidRPr="00374552">
        <w:rPr>
          <w:lang w:val="en-US"/>
        </w:rPr>
        <w:t xml:space="preserve"> 80 </w:t>
      </w:r>
      <w:r w:rsidR="00281B7B">
        <w:rPr>
          <w:lang w:val="en-US"/>
        </w:rPr>
        <w:t>slots</w:t>
      </w:r>
      <w:r w:rsidR="00281B7B" w:rsidRPr="00374552">
        <w:rPr>
          <w:lang w:val="en-US"/>
        </w:rPr>
        <w:t xml:space="preserve"> </w:t>
      </w:r>
      <w:r w:rsidR="00281B7B">
        <w:rPr>
          <w:lang w:val="en-US"/>
        </w:rPr>
        <w:t xml:space="preserve">in a radio frame </w:t>
      </w:r>
      <w:r w:rsidR="00281B7B" w:rsidRPr="00374552">
        <w:rPr>
          <w:lang w:val="en-US"/>
        </w:rPr>
        <w:t>when SCS is</w:t>
      </w:r>
      <w:r w:rsidR="00281B7B">
        <w:rPr>
          <w:lang w:val="en-US"/>
        </w:rPr>
        <w:t xml:space="preserve"> 120 kHz</w:t>
      </w:r>
      <w:r w:rsidR="00281B7B" w:rsidRPr="00374552">
        <w:rPr>
          <w:lang w:val="en-US"/>
        </w:rPr>
        <w:t>)</w:t>
      </w:r>
      <w:r w:rsidR="00281B7B">
        <w:rPr>
          <w:lang w:val="en-US"/>
        </w:rPr>
        <w:t>,</w:t>
      </w:r>
      <w:r w:rsidRPr="00374552">
        <w:rPr>
          <w:lang w:val="en-US"/>
        </w:rPr>
        <w:t xml:space="preserve"> SSB_index is the index indicated by the preamble. i.e. the </w:t>
      </w:r>
      <w:r w:rsidR="00281B7B">
        <w:rPr>
          <w:lang w:val="en-US"/>
        </w:rPr>
        <w:t>selected</w:t>
      </w:r>
      <w:r w:rsidR="00281B7B" w:rsidRPr="00374552">
        <w:rPr>
          <w:lang w:val="en-US"/>
        </w:rPr>
        <w:t xml:space="preserve"> </w:t>
      </w:r>
      <w:r w:rsidRPr="00374552">
        <w:rPr>
          <w:lang w:val="en-US"/>
        </w:rPr>
        <w:t xml:space="preserve">beam </w:t>
      </w:r>
      <w:r w:rsidR="00281B7B">
        <w:rPr>
          <w:lang w:val="en-US"/>
        </w:rPr>
        <w:t>by</w:t>
      </w:r>
      <w:r w:rsidR="00281B7B" w:rsidRPr="00374552">
        <w:rPr>
          <w:lang w:val="en-US"/>
        </w:rPr>
        <w:t xml:space="preserve"> </w:t>
      </w:r>
      <w:r w:rsidRPr="00374552">
        <w:rPr>
          <w:lang w:val="en-US"/>
        </w:rPr>
        <w:t>the UE (maximum 64 in case of frequency range above 6GHz) and f_id is the index of the specified PRACH within that slot</w:t>
      </w:r>
      <w:r>
        <w:rPr>
          <w:lang w:val="en-US"/>
        </w:rPr>
        <w:t>.</w:t>
      </w:r>
      <w:r w:rsidR="00502954">
        <w:rPr>
          <w:lang w:val="en-US"/>
        </w:rPr>
        <w:t xml:space="preserve"> The RA-RNTI generation is discussed in detail in </w:t>
      </w:r>
      <w:r w:rsidR="00502954">
        <w:rPr>
          <w:lang w:val="en-US"/>
        </w:rPr>
        <w:fldChar w:fldCharType="begin"/>
      </w:r>
      <w:r w:rsidR="00502954">
        <w:rPr>
          <w:lang w:val="en-US"/>
        </w:rPr>
        <w:instrText xml:space="preserve"> REF _Ref494372417 \r \h </w:instrText>
      </w:r>
      <w:r w:rsidR="00502954">
        <w:rPr>
          <w:lang w:val="en-US"/>
        </w:rPr>
      </w:r>
      <w:r w:rsidR="00502954">
        <w:rPr>
          <w:lang w:val="en-US"/>
        </w:rPr>
        <w:fldChar w:fldCharType="separate"/>
      </w:r>
      <w:r w:rsidR="00502954">
        <w:rPr>
          <w:lang w:val="en-US"/>
        </w:rPr>
        <w:t>[1]</w:t>
      </w:r>
      <w:r w:rsidR="00502954">
        <w:rPr>
          <w:lang w:val="en-US"/>
        </w:rPr>
        <w:fldChar w:fldCharType="end"/>
      </w:r>
      <w:r w:rsidR="00502954">
        <w:rPr>
          <w:lang w:val="en-US"/>
        </w:rPr>
        <w:t>.</w:t>
      </w:r>
    </w:p>
    <w:p w14:paraId="1A3EC9E0" w14:textId="14A1B21B" w:rsidR="00DD3219" w:rsidRDefault="00C3435C" w:rsidP="00281BDD">
      <w:r>
        <w:t xml:space="preserve">The new formula will make it possible to reuse the </w:t>
      </w:r>
      <w:r w:rsidR="00281B7B">
        <w:t>6-</w:t>
      </w:r>
      <w:r>
        <w:t>bit RAPID format if the number of preambles per SSB is limited to 64.</w:t>
      </w:r>
      <w:r w:rsidR="00DD3219">
        <w:t xml:space="preserve"> </w:t>
      </w:r>
      <w:r w:rsidR="002444CE">
        <w:t>With this new RA-RNTI formula, t</w:t>
      </w:r>
      <w:r w:rsidR="00DD3219">
        <w:t xml:space="preserve">he SSB is identified using the RA-RNTI. The RAPID will identify the preamble </w:t>
      </w:r>
      <w:r w:rsidR="00281B7B">
        <w:t xml:space="preserve">ID </w:t>
      </w:r>
      <w:r w:rsidR="00DD3219">
        <w:t>within this SSB.</w:t>
      </w:r>
      <w:r w:rsidR="008E10F3">
        <w:t xml:space="preserve"> Such scheme can simplify subheader design for RAR message</w:t>
      </w:r>
      <w:r w:rsidR="003C575B">
        <w:t xml:space="preserve"> as discussed in the companion paper </w:t>
      </w:r>
      <w:r w:rsidR="008E10F3">
        <w:fldChar w:fldCharType="begin"/>
      </w:r>
      <w:r w:rsidR="008E10F3">
        <w:instrText xml:space="preserve"> REF _Ref494371549 \r \h </w:instrText>
      </w:r>
      <w:r w:rsidR="008E10F3">
        <w:fldChar w:fldCharType="separate"/>
      </w:r>
      <w:r w:rsidR="008E10F3">
        <w:t>[2]</w:t>
      </w:r>
      <w:r w:rsidR="008E10F3">
        <w:fldChar w:fldCharType="end"/>
      </w:r>
      <w:r w:rsidR="003C575B">
        <w:t>.</w:t>
      </w:r>
    </w:p>
    <w:p w14:paraId="14B7C235" w14:textId="549A289C" w:rsidR="00C01F33" w:rsidRPr="00CE0424" w:rsidRDefault="00C01F33" w:rsidP="00CE0424">
      <w:pPr>
        <w:pStyle w:val="Heading1"/>
      </w:pPr>
      <w:r w:rsidRPr="00CE0424">
        <w:lastRenderedPageBreak/>
        <w:t>Conclusion</w:t>
      </w:r>
    </w:p>
    <w:p w14:paraId="687EC812" w14:textId="004A6BE3" w:rsidR="00035C7E" w:rsidRDefault="008E065E" w:rsidP="008E065E">
      <w:pPr>
        <w:pStyle w:val="BodyText"/>
        <w:rPr>
          <w:noProof/>
        </w:rPr>
      </w:pPr>
      <w:r>
        <w:t xml:space="preserve">In section </w:t>
      </w:r>
      <w:r w:rsidR="0094516D">
        <w:t>2</w:t>
      </w:r>
      <w:r w:rsidR="00F9709B">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2CE478F" w14:textId="77777777" w:rsidR="00035C7E" w:rsidRPr="00035C7E" w:rsidRDefault="00035C7E">
      <w:pPr>
        <w:pStyle w:val="TOC1"/>
        <w:rPr>
          <w:rFonts w:asciiTheme="minorHAnsi" w:eastAsiaTheme="minorEastAsia" w:hAnsiTheme="minorHAnsi" w:cstheme="minorBidi"/>
          <w:b w:val="0"/>
          <w:sz w:val="22"/>
        </w:rPr>
      </w:pPr>
      <w:r>
        <w:t>Observation 1</w:t>
      </w:r>
      <w:r w:rsidRPr="00035C7E">
        <w:rPr>
          <w:rFonts w:asciiTheme="minorHAnsi" w:eastAsiaTheme="minorEastAsia" w:hAnsiTheme="minorHAnsi" w:cstheme="minorBidi"/>
          <w:b w:val="0"/>
          <w:sz w:val="22"/>
        </w:rPr>
        <w:tab/>
      </w:r>
      <w:r w:rsidRPr="00072262">
        <w:t>Preamble is in MAC equivalent to preamble ID. The mapping from preamble ID to sequence, time and frequency is handled by lower layers and need not be visible to MAC.</w:t>
      </w:r>
    </w:p>
    <w:p w14:paraId="77620D89" w14:textId="77777777" w:rsidR="008E065E" w:rsidRDefault="008E065E" w:rsidP="008E065E">
      <w:pPr>
        <w:pStyle w:val="BodyText"/>
        <w:rPr>
          <w:b/>
          <w:bCs/>
        </w:rPr>
      </w:pPr>
      <w:r>
        <w:rPr>
          <w:b/>
          <w:bCs/>
        </w:rPr>
        <w:fldChar w:fldCharType="end"/>
      </w:r>
    </w:p>
    <w:p w14:paraId="137D9127" w14:textId="256D30A9" w:rsidR="00F9709B" w:rsidRDefault="008E065E">
      <w:pPr>
        <w:pStyle w:val="TOC1"/>
      </w:pPr>
      <w:r w:rsidRPr="00035C7E">
        <w:rPr>
          <w:b w:val="0"/>
        </w:rPr>
        <w:t>Bas</w:t>
      </w:r>
      <w:r w:rsidR="0094516D">
        <w:rPr>
          <w:b w:val="0"/>
        </w:rPr>
        <w:t>ed on the discussion in section 2</w:t>
      </w:r>
      <w:bookmarkStart w:id="10" w:name="_GoBack"/>
      <w:bookmarkEnd w:id="10"/>
      <w:r w:rsidRPr="00035C7E">
        <w:rPr>
          <w:b w:val="0"/>
        </w:rPr>
        <w:t xml:space="preserve"> we propose the following</w:t>
      </w:r>
      <w:r w:rsidRPr="00CE0424">
        <w:t>:</w:t>
      </w:r>
    </w:p>
    <w:p w14:paraId="7CC9A98C" w14:textId="77777777" w:rsidR="00035C7E" w:rsidRPr="00035C7E"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035C7E" w:rsidRPr="00910E3C">
        <w:t>Proposal 1</w:t>
      </w:r>
      <w:r w:rsidR="00035C7E" w:rsidRPr="00035C7E">
        <w:rPr>
          <w:rFonts w:asciiTheme="minorHAnsi" w:eastAsiaTheme="minorEastAsia" w:hAnsiTheme="minorHAnsi" w:cstheme="minorBidi"/>
          <w:b w:val="0"/>
          <w:sz w:val="22"/>
        </w:rPr>
        <w:tab/>
      </w:r>
      <w:r w:rsidR="00035C7E" w:rsidRPr="00910E3C">
        <w:t>Random access preamble set is allocated per SSB</w:t>
      </w:r>
    </w:p>
    <w:p w14:paraId="4EEF70B0" w14:textId="5FFA6138" w:rsidR="00C01F33" w:rsidRPr="00035C7E" w:rsidRDefault="008E065E" w:rsidP="006E062C">
      <w:pPr>
        <w:rPr>
          <w:b/>
          <w:bCs/>
        </w:rPr>
      </w:pPr>
      <w:r>
        <w:rPr>
          <w:b/>
          <w:bCs/>
        </w:rPr>
        <w:fldChar w:fldCharType="end"/>
      </w:r>
    </w:p>
    <w:p w14:paraId="52C2FBD5" w14:textId="77777777" w:rsidR="00F507D1" w:rsidRPr="00035C7E" w:rsidRDefault="00F507D1" w:rsidP="00CE0424">
      <w:pPr>
        <w:pStyle w:val="Heading1"/>
      </w:pPr>
      <w:bookmarkStart w:id="11" w:name="_In-sequence_SDU_delivery"/>
      <w:bookmarkEnd w:id="11"/>
      <w:r w:rsidRPr="00035C7E">
        <w:t>References</w:t>
      </w:r>
    </w:p>
    <w:p w14:paraId="30A5E95B" w14:textId="1F21395C" w:rsidR="008E10F3" w:rsidRPr="00035C7E" w:rsidRDefault="00502954" w:rsidP="00035C7E">
      <w:pPr>
        <w:pStyle w:val="Reference"/>
      </w:pPr>
      <w:bookmarkStart w:id="12" w:name="_Ref174151459"/>
      <w:bookmarkStart w:id="13" w:name="_Ref189809556"/>
      <w:r w:rsidRPr="00035C7E">
        <w:rPr>
          <w:rFonts w:cs="Arial"/>
          <w:color w:val="333333"/>
        </w:rPr>
        <w:t>R2-</w:t>
      </w:r>
      <w:r w:rsidRPr="00035C7E">
        <w:t>17</w:t>
      </w:r>
      <w:r w:rsidR="00035C7E" w:rsidRPr="00035C7E">
        <w:t>11175</w:t>
      </w:r>
      <w:r w:rsidRPr="00035C7E">
        <w:t xml:space="preserve">, </w:t>
      </w:r>
      <w:r w:rsidR="00035C7E" w:rsidRPr="00035C7E">
        <w:t>"</w:t>
      </w:r>
      <w:r w:rsidRPr="00035C7E">
        <w:rPr>
          <w:lang w:val="en-US"/>
        </w:rPr>
        <w:t>RA-RNTI for NR</w:t>
      </w:r>
      <w:r w:rsidR="00035C7E" w:rsidRPr="00035C7E">
        <w:rPr>
          <w:lang w:val="en-US"/>
        </w:rPr>
        <w:t>"</w:t>
      </w:r>
      <w:r w:rsidRPr="00035C7E">
        <w:rPr>
          <w:lang w:val="en-US"/>
        </w:rPr>
        <w:t xml:space="preserve">, </w:t>
      </w:r>
      <w:r w:rsidRPr="00035C7E">
        <w:t>Ericsson, 3GPP TSG-RAN WG2 #99bis</w:t>
      </w:r>
      <w:r w:rsidRPr="00035C7E" w:rsidDel="0080733D">
        <w:t xml:space="preserve"> </w:t>
      </w:r>
      <w:bookmarkStart w:id="14" w:name="_Ref494372417"/>
    </w:p>
    <w:bookmarkEnd w:id="14"/>
    <w:p w14:paraId="587BC55A" w14:textId="6B666BC4" w:rsidR="003A7EF3" w:rsidRPr="00035C7E" w:rsidRDefault="0080733D" w:rsidP="00035C7E">
      <w:pPr>
        <w:pStyle w:val="Reference"/>
      </w:pPr>
      <w:r w:rsidRPr="00035C7E">
        <w:rPr>
          <w:rFonts w:cs="Arial"/>
          <w:color w:val="333333"/>
        </w:rPr>
        <w:t>R2-</w:t>
      </w:r>
      <w:r w:rsidRPr="00035C7E">
        <w:t>17</w:t>
      </w:r>
      <w:r w:rsidR="00035C7E" w:rsidRPr="00035C7E">
        <w:t>11174</w:t>
      </w:r>
      <w:r w:rsidRPr="00035C7E">
        <w:t xml:space="preserve">, </w:t>
      </w:r>
      <w:r w:rsidR="00035C7E" w:rsidRPr="00035C7E">
        <w:t>"</w:t>
      </w:r>
      <w:hyperlink r:id="rId16" w:history="1">
        <w:r w:rsidRPr="00035C7E">
          <w:t>RAR PDU and Contents</w:t>
        </w:r>
      </w:hyperlink>
      <w:r w:rsidR="00035C7E" w:rsidRPr="00035C7E">
        <w:t>"</w:t>
      </w:r>
      <w:r w:rsidR="008E10F3" w:rsidRPr="00035C7E">
        <w:t>, Ericsson, 3GPP TSG-RAN WG2 #99bis</w:t>
      </w:r>
      <w:r w:rsidR="008E10F3" w:rsidRPr="00035C7E" w:rsidDel="0080733D">
        <w:t xml:space="preserve"> </w:t>
      </w:r>
      <w:bookmarkStart w:id="15" w:name="_Ref494371549"/>
      <w:bookmarkEnd w:id="12"/>
      <w:bookmarkEnd w:id="13"/>
      <w:bookmarkEnd w:id="15"/>
    </w:p>
    <w:sectPr w:rsidR="003A7EF3" w:rsidRPr="00035C7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5FDEB" w14:textId="77777777" w:rsidR="00CA5728" w:rsidRDefault="00CA5728">
      <w:r>
        <w:separator/>
      </w:r>
    </w:p>
  </w:endnote>
  <w:endnote w:type="continuationSeparator" w:id="0">
    <w:p w14:paraId="429EF643" w14:textId="77777777" w:rsidR="00CA5728" w:rsidRDefault="00CA5728">
      <w:r>
        <w:continuationSeparator/>
      </w:r>
    </w:p>
  </w:endnote>
  <w:endnote w:type="continuationNotice" w:id="1">
    <w:p w14:paraId="0C817232" w14:textId="77777777" w:rsidR="00CA5728" w:rsidRDefault="00CA5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CFA7" w14:textId="5B7B9288" w:rsidR="00350842" w:rsidRDefault="003508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516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16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E7060" w14:textId="77777777" w:rsidR="00CA5728" w:rsidRDefault="00CA5728">
      <w:r>
        <w:separator/>
      </w:r>
    </w:p>
  </w:footnote>
  <w:footnote w:type="continuationSeparator" w:id="0">
    <w:p w14:paraId="36535DB4" w14:textId="77777777" w:rsidR="00CA5728" w:rsidRDefault="00CA5728">
      <w:r>
        <w:continuationSeparator/>
      </w:r>
    </w:p>
  </w:footnote>
  <w:footnote w:type="continuationNotice" w:id="1">
    <w:p w14:paraId="7447BFC8" w14:textId="77777777" w:rsidR="00CA5728" w:rsidRDefault="00CA5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C4609" w14:textId="77777777" w:rsidR="00350842" w:rsidRDefault="003508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B20D74"/>
    <w:multiLevelType w:val="hybridMultilevel"/>
    <w:tmpl w:val="7B5E3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547BEA"/>
    <w:multiLevelType w:val="hybridMultilevel"/>
    <w:tmpl w:val="F7840356"/>
    <w:lvl w:ilvl="0" w:tplc="1108B6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0"/>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9A8"/>
    <w:rsid w:val="000006E1"/>
    <w:rsid w:val="00002A37"/>
    <w:rsid w:val="000039F4"/>
    <w:rsid w:val="00006446"/>
    <w:rsid w:val="00006896"/>
    <w:rsid w:val="00007CDC"/>
    <w:rsid w:val="00011B28"/>
    <w:rsid w:val="00015D15"/>
    <w:rsid w:val="000237DC"/>
    <w:rsid w:val="000243E4"/>
    <w:rsid w:val="0002564D"/>
    <w:rsid w:val="00025ECA"/>
    <w:rsid w:val="000325B8"/>
    <w:rsid w:val="00034C15"/>
    <w:rsid w:val="00035C7E"/>
    <w:rsid w:val="00036BA1"/>
    <w:rsid w:val="000422E2"/>
    <w:rsid w:val="00042F22"/>
    <w:rsid w:val="000444EF"/>
    <w:rsid w:val="00052A07"/>
    <w:rsid w:val="000534E3"/>
    <w:rsid w:val="0005606A"/>
    <w:rsid w:val="00057117"/>
    <w:rsid w:val="000616E7"/>
    <w:rsid w:val="0006487E"/>
    <w:rsid w:val="00065E1A"/>
    <w:rsid w:val="00073409"/>
    <w:rsid w:val="00077E5F"/>
    <w:rsid w:val="0008036A"/>
    <w:rsid w:val="00081AE6"/>
    <w:rsid w:val="00081BC2"/>
    <w:rsid w:val="000855EB"/>
    <w:rsid w:val="00085B52"/>
    <w:rsid w:val="000866F2"/>
    <w:rsid w:val="0009009F"/>
    <w:rsid w:val="00091557"/>
    <w:rsid w:val="000924C1"/>
    <w:rsid w:val="000924F0"/>
    <w:rsid w:val="00093474"/>
    <w:rsid w:val="000936F3"/>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E23"/>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4CE"/>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B7B"/>
    <w:rsid w:val="00281BDD"/>
    <w:rsid w:val="0028280A"/>
    <w:rsid w:val="00286180"/>
    <w:rsid w:val="00286ACD"/>
    <w:rsid w:val="00287838"/>
    <w:rsid w:val="002907B5"/>
    <w:rsid w:val="00291A24"/>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842"/>
    <w:rsid w:val="0035491B"/>
    <w:rsid w:val="00357380"/>
    <w:rsid w:val="003602D9"/>
    <w:rsid w:val="003604CE"/>
    <w:rsid w:val="003639E1"/>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89D"/>
    <w:rsid w:val="003C575B"/>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0D2"/>
    <w:rsid w:val="00437447"/>
    <w:rsid w:val="00441A92"/>
    <w:rsid w:val="00444F56"/>
    <w:rsid w:val="00446488"/>
    <w:rsid w:val="004517AA"/>
    <w:rsid w:val="00452CAC"/>
    <w:rsid w:val="00457565"/>
    <w:rsid w:val="00457B71"/>
    <w:rsid w:val="004669E2"/>
    <w:rsid w:val="00470C31"/>
    <w:rsid w:val="004734D0"/>
    <w:rsid w:val="0047556B"/>
    <w:rsid w:val="00477768"/>
    <w:rsid w:val="004853A7"/>
    <w:rsid w:val="00492BC5"/>
    <w:rsid w:val="004964F1"/>
    <w:rsid w:val="004A16BC"/>
    <w:rsid w:val="004A2B94"/>
    <w:rsid w:val="004B53F1"/>
    <w:rsid w:val="004B7C0C"/>
    <w:rsid w:val="004C0154"/>
    <w:rsid w:val="004C2DB9"/>
    <w:rsid w:val="004C3898"/>
    <w:rsid w:val="004D36B1"/>
    <w:rsid w:val="004D7EBD"/>
    <w:rsid w:val="004E2680"/>
    <w:rsid w:val="004E28F9"/>
    <w:rsid w:val="004E462E"/>
    <w:rsid w:val="004E56DC"/>
    <w:rsid w:val="004E76F4"/>
    <w:rsid w:val="004F0B4E"/>
    <w:rsid w:val="004F0B6C"/>
    <w:rsid w:val="004F2078"/>
    <w:rsid w:val="004F4DA3"/>
    <w:rsid w:val="00502954"/>
    <w:rsid w:val="00506557"/>
    <w:rsid w:val="0050677A"/>
    <w:rsid w:val="005108D8"/>
    <w:rsid w:val="005116F9"/>
    <w:rsid w:val="00512F89"/>
    <w:rsid w:val="005153A7"/>
    <w:rsid w:val="005219CF"/>
    <w:rsid w:val="00534B59"/>
    <w:rsid w:val="00536759"/>
    <w:rsid w:val="00537C62"/>
    <w:rsid w:val="00546970"/>
    <w:rsid w:val="005533E2"/>
    <w:rsid w:val="00554E19"/>
    <w:rsid w:val="0056121F"/>
    <w:rsid w:val="00572505"/>
    <w:rsid w:val="00582809"/>
    <w:rsid w:val="0058798C"/>
    <w:rsid w:val="005900FA"/>
    <w:rsid w:val="005935A4"/>
    <w:rsid w:val="005948C2"/>
    <w:rsid w:val="00595DCA"/>
    <w:rsid w:val="0059779B"/>
    <w:rsid w:val="005A209A"/>
    <w:rsid w:val="005A662D"/>
    <w:rsid w:val="005B3386"/>
    <w:rsid w:val="005B35D7"/>
    <w:rsid w:val="005B392A"/>
    <w:rsid w:val="005B3AA3"/>
    <w:rsid w:val="005B4AE4"/>
    <w:rsid w:val="005B591A"/>
    <w:rsid w:val="005B6F83"/>
    <w:rsid w:val="005C74FB"/>
    <w:rsid w:val="005D1602"/>
    <w:rsid w:val="005E187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5F"/>
    <w:rsid w:val="006613A6"/>
    <w:rsid w:val="006627A2"/>
    <w:rsid w:val="006634E6"/>
    <w:rsid w:val="006655EE"/>
    <w:rsid w:val="00665EE9"/>
    <w:rsid w:val="00667EE7"/>
    <w:rsid w:val="00670922"/>
    <w:rsid w:val="00670BE1"/>
    <w:rsid w:val="00670F8E"/>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0E5"/>
    <w:rsid w:val="006C5EC9"/>
    <w:rsid w:val="006C6059"/>
    <w:rsid w:val="006C7522"/>
    <w:rsid w:val="006D33FA"/>
    <w:rsid w:val="006D6F08"/>
    <w:rsid w:val="006E062C"/>
    <w:rsid w:val="006E28B7"/>
    <w:rsid w:val="006E3310"/>
    <w:rsid w:val="006E3D3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2E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8CE"/>
    <w:rsid w:val="0078304C"/>
    <w:rsid w:val="00783673"/>
    <w:rsid w:val="007852C0"/>
    <w:rsid w:val="00785490"/>
    <w:rsid w:val="007925EA"/>
    <w:rsid w:val="00792A59"/>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127"/>
    <w:rsid w:val="00801B70"/>
    <w:rsid w:val="00803FAE"/>
    <w:rsid w:val="0080605F"/>
    <w:rsid w:val="0080733D"/>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362"/>
    <w:rsid w:val="008706D4"/>
    <w:rsid w:val="00870F8A"/>
    <w:rsid w:val="008719A4"/>
    <w:rsid w:val="00871D23"/>
    <w:rsid w:val="00873DB0"/>
    <w:rsid w:val="00874312"/>
    <w:rsid w:val="0087437C"/>
    <w:rsid w:val="00875CD7"/>
    <w:rsid w:val="00876B4D"/>
    <w:rsid w:val="00877F18"/>
    <w:rsid w:val="008919A8"/>
    <w:rsid w:val="00894A88"/>
    <w:rsid w:val="00895386"/>
    <w:rsid w:val="008A21FF"/>
    <w:rsid w:val="008A2CE2"/>
    <w:rsid w:val="008A30AC"/>
    <w:rsid w:val="008A44B8"/>
    <w:rsid w:val="008A51A8"/>
    <w:rsid w:val="008A54C7"/>
    <w:rsid w:val="008A77D8"/>
    <w:rsid w:val="008B0483"/>
    <w:rsid w:val="008B120C"/>
    <w:rsid w:val="008B169E"/>
    <w:rsid w:val="008B4BF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0F3"/>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A57"/>
    <w:rsid w:val="00931BD9"/>
    <w:rsid w:val="009368F3"/>
    <w:rsid w:val="00941636"/>
    <w:rsid w:val="00943742"/>
    <w:rsid w:val="0094516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E0F"/>
    <w:rsid w:val="009B1F30"/>
    <w:rsid w:val="009B3AC2"/>
    <w:rsid w:val="009B4DF4"/>
    <w:rsid w:val="009B564E"/>
    <w:rsid w:val="009B7E87"/>
    <w:rsid w:val="009C0C75"/>
    <w:rsid w:val="009C403E"/>
    <w:rsid w:val="009D221D"/>
    <w:rsid w:val="009D3863"/>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695E"/>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90"/>
    <w:rsid w:val="00AD0AA3"/>
    <w:rsid w:val="00AD3F94"/>
    <w:rsid w:val="00AD4A5A"/>
    <w:rsid w:val="00AE27AC"/>
    <w:rsid w:val="00AE35C3"/>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4D1"/>
    <w:rsid w:val="00B41888"/>
    <w:rsid w:val="00B45A52"/>
    <w:rsid w:val="00B46175"/>
    <w:rsid w:val="00B6188F"/>
    <w:rsid w:val="00B664C7"/>
    <w:rsid w:val="00B739F6"/>
    <w:rsid w:val="00B8180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018"/>
    <w:rsid w:val="00BE1234"/>
    <w:rsid w:val="00BE2FA6"/>
    <w:rsid w:val="00BE333F"/>
    <w:rsid w:val="00BE63EB"/>
    <w:rsid w:val="00BE7406"/>
    <w:rsid w:val="00BE7603"/>
    <w:rsid w:val="00BF3279"/>
    <w:rsid w:val="00BF4C5D"/>
    <w:rsid w:val="00BF74C7"/>
    <w:rsid w:val="00BF7A27"/>
    <w:rsid w:val="00C015F1"/>
    <w:rsid w:val="00C01F33"/>
    <w:rsid w:val="00C02CC6"/>
    <w:rsid w:val="00C040F7"/>
    <w:rsid w:val="00C041B0"/>
    <w:rsid w:val="00C044AB"/>
    <w:rsid w:val="00C05706"/>
    <w:rsid w:val="00C06F8F"/>
    <w:rsid w:val="00C07377"/>
    <w:rsid w:val="00C10478"/>
    <w:rsid w:val="00C12107"/>
    <w:rsid w:val="00C14D4B"/>
    <w:rsid w:val="00C154BB"/>
    <w:rsid w:val="00C24345"/>
    <w:rsid w:val="00C279B5"/>
    <w:rsid w:val="00C27C45"/>
    <w:rsid w:val="00C3435C"/>
    <w:rsid w:val="00C3719D"/>
    <w:rsid w:val="00C510B8"/>
    <w:rsid w:val="00C54995"/>
    <w:rsid w:val="00C54D41"/>
    <w:rsid w:val="00C60783"/>
    <w:rsid w:val="00C62101"/>
    <w:rsid w:val="00C64672"/>
    <w:rsid w:val="00C70697"/>
    <w:rsid w:val="00C72EF4"/>
    <w:rsid w:val="00C75D2F"/>
    <w:rsid w:val="00C767BE"/>
    <w:rsid w:val="00C76E3C"/>
    <w:rsid w:val="00C81568"/>
    <w:rsid w:val="00C9027A"/>
    <w:rsid w:val="00C9068E"/>
    <w:rsid w:val="00C93C4B"/>
    <w:rsid w:val="00C944AB"/>
    <w:rsid w:val="00C95B40"/>
    <w:rsid w:val="00CA1ED8"/>
    <w:rsid w:val="00CA5728"/>
    <w:rsid w:val="00CB1F63"/>
    <w:rsid w:val="00CB7170"/>
    <w:rsid w:val="00CC040E"/>
    <w:rsid w:val="00CC111F"/>
    <w:rsid w:val="00CC2011"/>
    <w:rsid w:val="00CC3809"/>
    <w:rsid w:val="00CC3EA0"/>
    <w:rsid w:val="00CC7B45"/>
    <w:rsid w:val="00CD06EC"/>
    <w:rsid w:val="00CD1188"/>
    <w:rsid w:val="00CD2ED1"/>
    <w:rsid w:val="00CD337B"/>
    <w:rsid w:val="00CE0424"/>
    <w:rsid w:val="00CE3DBC"/>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77AB"/>
    <w:rsid w:val="00DA305E"/>
    <w:rsid w:val="00DA5417"/>
    <w:rsid w:val="00DA56E8"/>
    <w:rsid w:val="00DB0A9F"/>
    <w:rsid w:val="00DB377D"/>
    <w:rsid w:val="00DC2D36"/>
    <w:rsid w:val="00DC53EF"/>
    <w:rsid w:val="00DD3219"/>
    <w:rsid w:val="00DD724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B9"/>
    <w:rsid w:val="00E67C51"/>
    <w:rsid w:val="00E72EFC"/>
    <w:rsid w:val="00E758EC"/>
    <w:rsid w:val="00E8234C"/>
    <w:rsid w:val="00E83AA9"/>
    <w:rsid w:val="00E85928"/>
    <w:rsid w:val="00E87822"/>
    <w:rsid w:val="00E90395"/>
    <w:rsid w:val="00E90E49"/>
    <w:rsid w:val="00E917F9"/>
    <w:rsid w:val="00E9291C"/>
    <w:rsid w:val="00E9361D"/>
    <w:rsid w:val="00E93FFE"/>
    <w:rsid w:val="00E94F8A"/>
    <w:rsid w:val="00EA7A41"/>
    <w:rsid w:val="00EB077B"/>
    <w:rsid w:val="00EB2A6D"/>
    <w:rsid w:val="00EB2BBE"/>
    <w:rsid w:val="00EB4EA2"/>
    <w:rsid w:val="00EC27C6"/>
    <w:rsid w:val="00EC4207"/>
    <w:rsid w:val="00EC5653"/>
    <w:rsid w:val="00EC71CE"/>
    <w:rsid w:val="00ED1006"/>
    <w:rsid w:val="00EF18FE"/>
    <w:rsid w:val="00EF5787"/>
    <w:rsid w:val="00EF60D0"/>
    <w:rsid w:val="00F00545"/>
    <w:rsid w:val="00F0528D"/>
    <w:rsid w:val="00F06C67"/>
    <w:rsid w:val="00F06DFD"/>
    <w:rsid w:val="00F071D1"/>
    <w:rsid w:val="00F07533"/>
    <w:rsid w:val="00F10629"/>
    <w:rsid w:val="00F15FA5"/>
    <w:rsid w:val="00F209B7"/>
    <w:rsid w:val="00F2376F"/>
    <w:rsid w:val="00F243D8"/>
    <w:rsid w:val="00F30828"/>
    <w:rsid w:val="00F313D6"/>
    <w:rsid w:val="00F34C74"/>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09B"/>
    <w:rsid w:val="00F97838"/>
    <w:rsid w:val="00FA2BB3"/>
    <w:rsid w:val="00FA30C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23801"/>
  <w15:chartTrackingRefBased/>
  <w15:docId w15:val="{5E9D48DB-F5FF-4DF0-869C-9D81092E5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3E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E63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63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63EB"/>
    <w:pPr>
      <w:numPr>
        <w:ilvl w:val="2"/>
      </w:numPr>
      <w:spacing w:before="120"/>
      <w:outlineLvl w:val="2"/>
    </w:pPr>
    <w:rPr>
      <w:sz w:val="28"/>
      <w:szCs w:val="28"/>
    </w:rPr>
  </w:style>
  <w:style w:type="paragraph" w:styleId="Heading4">
    <w:name w:val="heading 4"/>
    <w:basedOn w:val="Heading3"/>
    <w:next w:val="Normal"/>
    <w:qFormat/>
    <w:rsid w:val="00BE63EB"/>
    <w:pPr>
      <w:numPr>
        <w:ilvl w:val="3"/>
      </w:numPr>
      <w:outlineLvl w:val="3"/>
    </w:pPr>
    <w:rPr>
      <w:sz w:val="24"/>
      <w:szCs w:val="24"/>
    </w:rPr>
  </w:style>
  <w:style w:type="paragraph" w:styleId="Heading5">
    <w:name w:val="heading 5"/>
    <w:basedOn w:val="Heading4"/>
    <w:next w:val="Normal"/>
    <w:qFormat/>
    <w:rsid w:val="00BE63EB"/>
    <w:pPr>
      <w:numPr>
        <w:ilvl w:val="4"/>
      </w:numPr>
      <w:outlineLvl w:val="4"/>
    </w:pPr>
    <w:rPr>
      <w:sz w:val="22"/>
      <w:szCs w:val="22"/>
    </w:rPr>
  </w:style>
  <w:style w:type="paragraph" w:styleId="Heading6">
    <w:name w:val="heading 6"/>
    <w:basedOn w:val="Normal"/>
    <w:next w:val="Normal"/>
    <w:qFormat/>
    <w:rsid w:val="00BE63EB"/>
    <w:pPr>
      <w:keepNext/>
      <w:keepLines/>
      <w:numPr>
        <w:ilvl w:val="5"/>
        <w:numId w:val="1"/>
      </w:numPr>
      <w:spacing w:before="120"/>
      <w:outlineLvl w:val="5"/>
    </w:pPr>
    <w:rPr>
      <w:rFonts w:cs="Arial"/>
    </w:rPr>
  </w:style>
  <w:style w:type="paragraph" w:styleId="Heading7">
    <w:name w:val="heading 7"/>
    <w:basedOn w:val="Normal"/>
    <w:next w:val="Normal"/>
    <w:qFormat/>
    <w:rsid w:val="00BE63EB"/>
    <w:pPr>
      <w:keepNext/>
      <w:keepLines/>
      <w:numPr>
        <w:ilvl w:val="6"/>
        <w:numId w:val="1"/>
      </w:numPr>
      <w:spacing w:before="120"/>
      <w:outlineLvl w:val="6"/>
    </w:pPr>
    <w:rPr>
      <w:rFonts w:cs="Arial"/>
    </w:rPr>
  </w:style>
  <w:style w:type="paragraph" w:styleId="Heading8">
    <w:name w:val="heading 8"/>
    <w:basedOn w:val="Heading7"/>
    <w:next w:val="Normal"/>
    <w:qFormat/>
    <w:rsid w:val="00BE63EB"/>
    <w:pPr>
      <w:numPr>
        <w:ilvl w:val="7"/>
      </w:numPr>
      <w:outlineLvl w:val="7"/>
    </w:pPr>
  </w:style>
  <w:style w:type="paragraph" w:styleId="Heading9">
    <w:name w:val="heading 9"/>
    <w:basedOn w:val="Heading8"/>
    <w:next w:val="Normal"/>
    <w:qFormat/>
    <w:rsid w:val="00BE63EB"/>
    <w:pPr>
      <w:numPr>
        <w:ilvl w:val="8"/>
      </w:numPr>
      <w:outlineLvl w:val="8"/>
    </w:pPr>
  </w:style>
  <w:style w:type="character" w:default="1" w:styleId="DefaultParagraphFont">
    <w:name w:val="Default Paragraph Font"/>
    <w:uiPriority w:val="1"/>
    <w:semiHidden/>
    <w:unhideWhenUsed/>
    <w:rsid w:val="00BE63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3EB"/>
  </w:style>
  <w:style w:type="paragraph" w:styleId="TOC8">
    <w:name w:val="toc 8"/>
    <w:basedOn w:val="TOC1"/>
    <w:semiHidden/>
    <w:rsid w:val="00BE63EB"/>
    <w:pPr>
      <w:spacing w:before="180"/>
      <w:ind w:left="2693" w:hanging="2693"/>
    </w:pPr>
    <w:rPr>
      <w:b w:val="0"/>
      <w:bCs/>
    </w:rPr>
  </w:style>
  <w:style w:type="paragraph" w:styleId="TOC1">
    <w:name w:val="toc 1"/>
    <w:aliases w:val="Observation TOC2"/>
    <w:uiPriority w:val="39"/>
    <w:rsid w:val="00BE63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63EB"/>
    <w:pPr>
      <w:keepNext/>
      <w:keepLines/>
      <w:spacing w:before="180"/>
      <w:jc w:val="center"/>
    </w:pPr>
  </w:style>
  <w:style w:type="paragraph" w:styleId="Caption">
    <w:name w:val="caption"/>
    <w:basedOn w:val="Normal"/>
    <w:next w:val="Normal"/>
    <w:qFormat/>
    <w:rsid w:val="00BE63EB"/>
    <w:pPr>
      <w:spacing w:after="240"/>
      <w:jc w:val="center"/>
    </w:pPr>
    <w:rPr>
      <w:b/>
      <w:bCs/>
    </w:rPr>
  </w:style>
  <w:style w:type="paragraph" w:styleId="TOC5">
    <w:name w:val="toc 5"/>
    <w:aliases w:val="Observation TOC"/>
    <w:basedOn w:val="TOC4"/>
    <w:semiHidden/>
    <w:rsid w:val="00BE63EB"/>
    <w:pPr>
      <w:tabs>
        <w:tab w:val="right" w:pos="1701"/>
      </w:tabs>
      <w:ind w:left="1701" w:hanging="1701"/>
    </w:pPr>
  </w:style>
  <w:style w:type="paragraph" w:styleId="TOC4">
    <w:name w:val="toc 4"/>
    <w:basedOn w:val="TOC3"/>
    <w:semiHidden/>
    <w:rsid w:val="00BE63EB"/>
    <w:pPr>
      <w:ind w:left="1418" w:hanging="1418"/>
    </w:pPr>
  </w:style>
  <w:style w:type="paragraph" w:styleId="TOC3">
    <w:name w:val="toc 3"/>
    <w:basedOn w:val="TOC2"/>
    <w:semiHidden/>
    <w:rsid w:val="00BE63EB"/>
    <w:pPr>
      <w:ind w:left="1134" w:hanging="1134"/>
    </w:pPr>
  </w:style>
  <w:style w:type="paragraph" w:styleId="TOC2">
    <w:name w:val="toc 2"/>
    <w:basedOn w:val="TOC1"/>
    <w:semiHidden/>
    <w:rsid w:val="00BE63EB"/>
    <w:pPr>
      <w:keepNext w:val="0"/>
      <w:spacing w:before="0"/>
      <w:ind w:left="851" w:hanging="851"/>
    </w:pPr>
    <w:rPr>
      <w:szCs w:val="20"/>
    </w:rPr>
  </w:style>
  <w:style w:type="paragraph" w:styleId="Index2">
    <w:name w:val="index 2"/>
    <w:basedOn w:val="Index1"/>
    <w:semiHidden/>
    <w:rsid w:val="00BE63EB"/>
    <w:pPr>
      <w:ind w:left="284"/>
    </w:pPr>
  </w:style>
  <w:style w:type="paragraph" w:styleId="Index1">
    <w:name w:val="index 1"/>
    <w:basedOn w:val="Normal"/>
    <w:semiHidden/>
    <w:rsid w:val="00BE63EB"/>
    <w:pPr>
      <w:keepLines/>
      <w:spacing w:after="0"/>
    </w:pPr>
  </w:style>
  <w:style w:type="paragraph" w:styleId="DocumentMap">
    <w:name w:val="Document Map"/>
    <w:basedOn w:val="Normal"/>
    <w:semiHidden/>
    <w:rsid w:val="00BE63EB"/>
    <w:pPr>
      <w:shd w:val="clear" w:color="auto" w:fill="000080"/>
    </w:pPr>
    <w:rPr>
      <w:rFonts w:ascii="Tahoma" w:hAnsi="Tahoma" w:cs="Tahoma"/>
    </w:rPr>
  </w:style>
  <w:style w:type="paragraph" w:styleId="ListNumber2">
    <w:name w:val="List Number 2"/>
    <w:basedOn w:val="ListNumber"/>
    <w:rsid w:val="00BE63EB"/>
    <w:pPr>
      <w:ind w:left="851"/>
    </w:pPr>
  </w:style>
  <w:style w:type="paragraph" w:styleId="ListNumber">
    <w:name w:val="List Number"/>
    <w:basedOn w:val="List"/>
    <w:rsid w:val="00BE63EB"/>
  </w:style>
  <w:style w:type="paragraph" w:styleId="List">
    <w:name w:val="List"/>
    <w:basedOn w:val="Normal"/>
    <w:rsid w:val="00BE63EB"/>
    <w:pPr>
      <w:ind w:left="568" w:hanging="284"/>
    </w:pPr>
  </w:style>
  <w:style w:type="paragraph" w:styleId="Header">
    <w:name w:val="header"/>
    <w:rsid w:val="00BE63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63EB"/>
    <w:rPr>
      <w:b/>
      <w:bCs/>
      <w:position w:val="6"/>
      <w:sz w:val="16"/>
      <w:szCs w:val="16"/>
    </w:rPr>
  </w:style>
  <w:style w:type="paragraph" w:styleId="FootnoteText">
    <w:name w:val="footnote text"/>
    <w:basedOn w:val="Normal"/>
    <w:semiHidden/>
    <w:rsid w:val="00BE63EB"/>
    <w:pPr>
      <w:keepLines/>
      <w:spacing w:after="0"/>
      <w:ind w:left="454" w:hanging="454"/>
    </w:pPr>
    <w:rPr>
      <w:sz w:val="16"/>
      <w:szCs w:val="16"/>
    </w:rPr>
  </w:style>
  <w:style w:type="paragraph" w:customStyle="1" w:styleId="3GPPHeader">
    <w:name w:val="3GPP_Header"/>
    <w:basedOn w:val="Normal"/>
    <w:rsid w:val="00BE63EB"/>
    <w:pPr>
      <w:tabs>
        <w:tab w:val="left" w:pos="1701"/>
        <w:tab w:val="right" w:pos="9639"/>
      </w:tabs>
      <w:spacing w:after="240"/>
    </w:pPr>
    <w:rPr>
      <w:b/>
      <w:sz w:val="24"/>
    </w:rPr>
  </w:style>
  <w:style w:type="paragraph" w:styleId="TOC9">
    <w:name w:val="toc 9"/>
    <w:basedOn w:val="TOC8"/>
    <w:semiHidden/>
    <w:rsid w:val="00BE63EB"/>
    <w:pPr>
      <w:ind w:left="1418" w:hanging="1418"/>
    </w:pPr>
  </w:style>
  <w:style w:type="paragraph" w:styleId="TOC6">
    <w:name w:val="toc 6"/>
    <w:basedOn w:val="TOC5"/>
    <w:next w:val="Normal"/>
    <w:semiHidden/>
    <w:rsid w:val="00BE63EB"/>
    <w:pPr>
      <w:ind w:left="1985" w:hanging="1985"/>
    </w:pPr>
  </w:style>
  <w:style w:type="paragraph" w:styleId="TOC7">
    <w:name w:val="toc 7"/>
    <w:basedOn w:val="TOC6"/>
    <w:next w:val="Normal"/>
    <w:semiHidden/>
    <w:rsid w:val="00BE63EB"/>
    <w:pPr>
      <w:ind w:left="2268" w:hanging="2268"/>
    </w:pPr>
  </w:style>
  <w:style w:type="paragraph" w:styleId="ListBullet2">
    <w:name w:val="List Bullet 2"/>
    <w:basedOn w:val="ListBullet"/>
    <w:rsid w:val="00BE63EB"/>
    <w:pPr>
      <w:numPr>
        <w:numId w:val="6"/>
      </w:numPr>
    </w:pPr>
  </w:style>
  <w:style w:type="paragraph" w:styleId="ListBullet">
    <w:name w:val="List Bullet"/>
    <w:basedOn w:val="BodyText"/>
    <w:rsid w:val="00BE63EB"/>
    <w:pPr>
      <w:numPr>
        <w:numId w:val="5"/>
      </w:numPr>
    </w:pPr>
  </w:style>
  <w:style w:type="paragraph" w:styleId="ListBullet3">
    <w:name w:val="List Bullet 3"/>
    <w:basedOn w:val="ListBullet2"/>
    <w:rsid w:val="00BE63EB"/>
    <w:pPr>
      <w:numPr>
        <w:numId w:val="7"/>
      </w:numPr>
    </w:pPr>
  </w:style>
  <w:style w:type="paragraph" w:customStyle="1" w:styleId="EQ">
    <w:name w:val="EQ"/>
    <w:basedOn w:val="Normal"/>
    <w:next w:val="Normal"/>
    <w:rsid w:val="00BE63EB"/>
    <w:pPr>
      <w:keepLines/>
      <w:tabs>
        <w:tab w:val="center" w:pos="4536"/>
        <w:tab w:val="right" w:pos="9072"/>
      </w:tabs>
      <w:spacing w:after="180"/>
      <w:jc w:val="left"/>
    </w:pPr>
    <w:rPr>
      <w:noProof/>
      <w:lang w:eastAsia="en-US"/>
    </w:rPr>
  </w:style>
  <w:style w:type="paragraph" w:styleId="List2">
    <w:name w:val="List 2"/>
    <w:basedOn w:val="List"/>
    <w:rsid w:val="00BE63EB"/>
    <w:pPr>
      <w:ind w:left="851"/>
    </w:pPr>
  </w:style>
  <w:style w:type="paragraph" w:styleId="List3">
    <w:name w:val="List 3"/>
    <w:basedOn w:val="List2"/>
    <w:rsid w:val="00BE63EB"/>
    <w:pPr>
      <w:ind w:left="1135"/>
    </w:pPr>
  </w:style>
  <w:style w:type="paragraph" w:styleId="List4">
    <w:name w:val="List 4"/>
    <w:basedOn w:val="List3"/>
    <w:rsid w:val="00BE63EB"/>
    <w:pPr>
      <w:ind w:left="1418"/>
    </w:pPr>
  </w:style>
  <w:style w:type="paragraph" w:styleId="List5">
    <w:name w:val="List 5"/>
    <w:basedOn w:val="List4"/>
    <w:rsid w:val="00BE63EB"/>
    <w:pPr>
      <w:ind w:left="1702"/>
    </w:pPr>
  </w:style>
  <w:style w:type="paragraph" w:customStyle="1" w:styleId="EditorsNote">
    <w:name w:val="Editor's Note"/>
    <w:basedOn w:val="Normal"/>
    <w:rsid w:val="00BE63EB"/>
    <w:pPr>
      <w:keepLines/>
      <w:spacing w:after="180"/>
      <w:ind w:left="1135" w:hanging="851"/>
      <w:jc w:val="left"/>
    </w:pPr>
    <w:rPr>
      <w:color w:val="FF0000"/>
      <w:lang w:eastAsia="en-US"/>
    </w:rPr>
  </w:style>
  <w:style w:type="paragraph" w:styleId="ListBullet4">
    <w:name w:val="List Bullet 4"/>
    <w:basedOn w:val="ListBullet3"/>
    <w:rsid w:val="00BE63EB"/>
    <w:pPr>
      <w:numPr>
        <w:numId w:val="8"/>
      </w:numPr>
    </w:pPr>
  </w:style>
  <w:style w:type="paragraph" w:styleId="ListBullet5">
    <w:name w:val="List Bullet 5"/>
    <w:basedOn w:val="ListBullet4"/>
    <w:rsid w:val="00BE63EB"/>
    <w:pPr>
      <w:numPr>
        <w:numId w:val="4"/>
      </w:numPr>
    </w:pPr>
  </w:style>
  <w:style w:type="paragraph" w:styleId="Footer">
    <w:name w:val="footer"/>
    <w:basedOn w:val="Header"/>
    <w:semiHidden/>
    <w:rsid w:val="00BE63EB"/>
    <w:pPr>
      <w:jc w:val="center"/>
    </w:pPr>
    <w:rPr>
      <w:i/>
      <w:iCs/>
    </w:rPr>
  </w:style>
  <w:style w:type="paragraph" w:customStyle="1" w:styleId="Reference">
    <w:name w:val="Reference"/>
    <w:basedOn w:val="Normal"/>
    <w:rsid w:val="00BE63EB"/>
    <w:pPr>
      <w:numPr>
        <w:numId w:val="2"/>
      </w:numPr>
    </w:pPr>
  </w:style>
  <w:style w:type="paragraph" w:styleId="BalloonText">
    <w:name w:val="Balloon Text"/>
    <w:basedOn w:val="Normal"/>
    <w:semiHidden/>
    <w:rsid w:val="00BE63EB"/>
    <w:rPr>
      <w:rFonts w:ascii="Tahoma" w:hAnsi="Tahoma" w:cs="Tahoma"/>
      <w:sz w:val="16"/>
      <w:szCs w:val="16"/>
    </w:rPr>
  </w:style>
  <w:style w:type="character" w:styleId="PageNumber">
    <w:name w:val="page number"/>
    <w:basedOn w:val="DefaultParagraphFont"/>
    <w:semiHidden/>
    <w:rsid w:val="00BE63EB"/>
  </w:style>
  <w:style w:type="paragraph" w:styleId="BodyText">
    <w:name w:val="Body Text"/>
    <w:basedOn w:val="Normal"/>
    <w:link w:val="BodyTextChar"/>
    <w:rsid w:val="00BE63EB"/>
  </w:style>
  <w:style w:type="character" w:styleId="Hyperlink">
    <w:name w:val="Hyperlink"/>
    <w:uiPriority w:val="99"/>
    <w:rsid w:val="00BE63EB"/>
    <w:rPr>
      <w:color w:val="0000FF"/>
      <w:u w:val="single"/>
      <w:lang w:val="en-GB"/>
    </w:rPr>
  </w:style>
  <w:style w:type="character" w:styleId="FollowedHyperlink">
    <w:name w:val="FollowedHyperlink"/>
    <w:semiHidden/>
    <w:rsid w:val="00BE63EB"/>
    <w:rPr>
      <w:color w:val="FF0000"/>
      <w:u w:val="single"/>
    </w:rPr>
  </w:style>
  <w:style w:type="character" w:styleId="CommentReference">
    <w:name w:val="annotation reference"/>
    <w:semiHidden/>
    <w:rsid w:val="00BE63EB"/>
    <w:rPr>
      <w:sz w:val="16"/>
      <w:szCs w:val="16"/>
    </w:rPr>
  </w:style>
  <w:style w:type="paragraph" w:styleId="CommentText">
    <w:name w:val="annotation text"/>
    <w:basedOn w:val="Normal"/>
    <w:link w:val="CommentTextChar"/>
    <w:rsid w:val="00BE63EB"/>
  </w:style>
  <w:style w:type="paragraph" w:styleId="CommentSubject">
    <w:name w:val="annotation subject"/>
    <w:basedOn w:val="CommentText"/>
    <w:next w:val="CommentText"/>
    <w:semiHidden/>
    <w:rsid w:val="00BE63EB"/>
    <w:rPr>
      <w:b/>
      <w:bCs/>
    </w:rPr>
  </w:style>
  <w:style w:type="character" w:customStyle="1" w:styleId="Heading1Char">
    <w:name w:val="Heading 1 Char"/>
    <w:link w:val="Heading1"/>
    <w:rsid w:val="00BE63EB"/>
    <w:rPr>
      <w:rFonts w:ascii="Arial" w:hAnsi="Arial" w:cs="Arial"/>
      <w:sz w:val="36"/>
      <w:szCs w:val="36"/>
      <w:lang w:val="en-GB" w:eastAsia="zh-CN"/>
    </w:rPr>
  </w:style>
  <w:style w:type="paragraph" w:customStyle="1" w:styleId="B1">
    <w:name w:val="B1"/>
    <w:basedOn w:val="List"/>
    <w:rsid w:val="00BE63EB"/>
    <w:pPr>
      <w:spacing w:after="180"/>
      <w:jc w:val="left"/>
    </w:pPr>
    <w:rPr>
      <w:lang w:eastAsia="en-US"/>
    </w:rPr>
  </w:style>
  <w:style w:type="paragraph" w:customStyle="1" w:styleId="B2">
    <w:name w:val="B2"/>
    <w:basedOn w:val="List2"/>
    <w:rsid w:val="00BE63EB"/>
    <w:pPr>
      <w:spacing w:after="180"/>
      <w:jc w:val="left"/>
    </w:pPr>
    <w:rPr>
      <w:lang w:eastAsia="en-US"/>
    </w:rPr>
  </w:style>
  <w:style w:type="paragraph" w:customStyle="1" w:styleId="B3">
    <w:name w:val="B3"/>
    <w:basedOn w:val="List3"/>
    <w:rsid w:val="00BE63EB"/>
    <w:pPr>
      <w:spacing w:after="180"/>
      <w:jc w:val="left"/>
    </w:pPr>
    <w:rPr>
      <w:lang w:eastAsia="en-US"/>
    </w:rPr>
  </w:style>
  <w:style w:type="paragraph" w:customStyle="1" w:styleId="B4">
    <w:name w:val="B4"/>
    <w:basedOn w:val="List4"/>
    <w:rsid w:val="00BE63EB"/>
    <w:pPr>
      <w:spacing w:after="180"/>
      <w:jc w:val="left"/>
    </w:pPr>
    <w:rPr>
      <w:lang w:eastAsia="en-US"/>
    </w:rPr>
  </w:style>
  <w:style w:type="paragraph" w:customStyle="1" w:styleId="Proposal">
    <w:name w:val="Proposal"/>
    <w:basedOn w:val="Normal"/>
    <w:rsid w:val="00BE63EB"/>
    <w:pPr>
      <w:numPr>
        <w:numId w:val="3"/>
      </w:numPr>
      <w:tabs>
        <w:tab w:val="clear" w:pos="1304"/>
        <w:tab w:val="left" w:pos="1701"/>
      </w:tabs>
      <w:ind w:left="1701" w:hanging="1701"/>
    </w:pPr>
    <w:rPr>
      <w:b/>
      <w:bCs/>
    </w:rPr>
  </w:style>
  <w:style w:type="character" w:customStyle="1" w:styleId="BodyTextChar">
    <w:name w:val="Body Text Char"/>
    <w:link w:val="BodyText"/>
    <w:rsid w:val="00BE63EB"/>
    <w:rPr>
      <w:rFonts w:ascii="Arial" w:hAnsi="Arial"/>
      <w:lang w:val="en-GB" w:eastAsia="zh-CN"/>
    </w:rPr>
  </w:style>
  <w:style w:type="paragraph" w:customStyle="1" w:styleId="B5">
    <w:name w:val="B5"/>
    <w:basedOn w:val="List5"/>
    <w:rsid w:val="00BE63EB"/>
    <w:pPr>
      <w:spacing w:after="180"/>
      <w:jc w:val="left"/>
    </w:pPr>
    <w:rPr>
      <w:lang w:eastAsia="en-US"/>
    </w:rPr>
  </w:style>
  <w:style w:type="paragraph" w:customStyle="1" w:styleId="EX">
    <w:name w:val="EX"/>
    <w:basedOn w:val="Normal"/>
    <w:rsid w:val="00BE63EB"/>
    <w:pPr>
      <w:keepLines/>
      <w:spacing w:after="180"/>
      <w:ind w:left="1702" w:hanging="1418"/>
      <w:jc w:val="left"/>
    </w:pPr>
    <w:rPr>
      <w:lang w:eastAsia="en-US"/>
    </w:rPr>
  </w:style>
  <w:style w:type="paragraph" w:customStyle="1" w:styleId="EW">
    <w:name w:val="EW"/>
    <w:basedOn w:val="EX"/>
    <w:rsid w:val="00BE63EB"/>
    <w:pPr>
      <w:spacing w:after="0"/>
    </w:pPr>
  </w:style>
  <w:style w:type="paragraph" w:customStyle="1" w:styleId="TAL">
    <w:name w:val="TAL"/>
    <w:basedOn w:val="Normal"/>
    <w:rsid w:val="00BE63EB"/>
    <w:pPr>
      <w:keepNext/>
      <w:keepLines/>
      <w:spacing w:after="0"/>
      <w:jc w:val="left"/>
    </w:pPr>
    <w:rPr>
      <w:sz w:val="18"/>
      <w:lang w:eastAsia="en-US"/>
    </w:rPr>
  </w:style>
  <w:style w:type="paragraph" w:customStyle="1" w:styleId="TAC">
    <w:name w:val="TAC"/>
    <w:basedOn w:val="TAL"/>
    <w:rsid w:val="00BE63EB"/>
    <w:pPr>
      <w:jc w:val="center"/>
    </w:pPr>
  </w:style>
  <w:style w:type="paragraph" w:customStyle="1" w:styleId="TAH">
    <w:name w:val="TAH"/>
    <w:basedOn w:val="TAC"/>
    <w:rsid w:val="00BE63EB"/>
    <w:rPr>
      <w:b/>
    </w:rPr>
  </w:style>
  <w:style w:type="paragraph" w:customStyle="1" w:styleId="TAN">
    <w:name w:val="TAN"/>
    <w:basedOn w:val="TAL"/>
    <w:rsid w:val="00BE63EB"/>
    <w:pPr>
      <w:ind w:left="851" w:hanging="851"/>
    </w:pPr>
  </w:style>
  <w:style w:type="paragraph" w:customStyle="1" w:styleId="TAR">
    <w:name w:val="TAR"/>
    <w:basedOn w:val="TAL"/>
    <w:rsid w:val="00BE63EB"/>
    <w:pPr>
      <w:jc w:val="right"/>
    </w:pPr>
  </w:style>
  <w:style w:type="paragraph" w:customStyle="1" w:styleId="TH">
    <w:name w:val="TH"/>
    <w:basedOn w:val="Normal"/>
    <w:rsid w:val="00BE63EB"/>
    <w:pPr>
      <w:keepNext/>
      <w:keepLines/>
      <w:spacing w:before="60" w:after="180"/>
      <w:jc w:val="center"/>
    </w:pPr>
    <w:rPr>
      <w:b/>
      <w:lang w:eastAsia="en-US"/>
    </w:rPr>
  </w:style>
  <w:style w:type="paragraph" w:customStyle="1" w:styleId="TF">
    <w:name w:val="TF"/>
    <w:basedOn w:val="TH"/>
    <w:rsid w:val="00BE63EB"/>
    <w:pPr>
      <w:keepNext w:val="0"/>
      <w:spacing w:before="0" w:after="240"/>
    </w:pPr>
  </w:style>
  <w:style w:type="paragraph" w:customStyle="1" w:styleId="TT">
    <w:name w:val="TT"/>
    <w:basedOn w:val="Heading1"/>
    <w:next w:val="Normal"/>
    <w:rsid w:val="00BE63EB"/>
    <w:pPr>
      <w:numPr>
        <w:numId w:val="0"/>
      </w:numPr>
      <w:ind w:left="1134" w:hanging="1134"/>
      <w:outlineLvl w:val="9"/>
    </w:pPr>
    <w:rPr>
      <w:rFonts w:cs="Times New Roman"/>
      <w:szCs w:val="20"/>
      <w:lang w:eastAsia="en-US"/>
    </w:rPr>
  </w:style>
  <w:style w:type="paragraph" w:customStyle="1" w:styleId="ZA">
    <w:name w:val="ZA"/>
    <w:rsid w:val="00BE63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63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63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63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63EB"/>
  </w:style>
  <w:style w:type="paragraph" w:customStyle="1" w:styleId="ZH">
    <w:name w:val="ZH"/>
    <w:rsid w:val="00BE63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63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63EB"/>
    <w:pPr>
      <w:framePr w:hRule="auto" w:wrap="notBeside" w:y="852"/>
    </w:pPr>
    <w:rPr>
      <w:i w:val="0"/>
      <w:sz w:val="40"/>
    </w:rPr>
  </w:style>
  <w:style w:type="paragraph" w:customStyle="1" w:styleId="ZU">
    <w:name w:val="ZU"/>
    <w:rsid w:val="00BE63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63EB"/>
    <w:pPr>
      <w:framePr w:wrap="notBeside" w:y="16161"/>
    </w:pPr>
  </w:style>
  <w:style w:type="paragraph" w:customStyle="1" w:styleId="FP">
    <w:name w:val="FP"/>
    <w:basedOn w:val="Normal"/>
    <w:rsid w:val="00BE63EB"/>
    <w:pPr>
      <w:spacing w:after="0"/>
      <w:jc w:val="left"/>
    </w:pPr>
    <w:rPr>
      <w:lang w:eastAsia="en-US"/>
    </w:rPr>
  </w:style>
  <w:style w:type="paragraph" w:customStyle="1" w:styleId="Observation">
    <w:name w:val="Observation"/>
    <w:basedOn w:val="Proposal"/>
    <w:qFormat/>
    <w:rsid w:val="00BE63EB"/>
    <w:pPr>
      <w:numPr>
        <w:numId w:val="13"/>
      </w:numPr>
      <w:ind w:left="1701" w:hanging="1701"/>
    </w:pPr>
  </w:style>
  <w:style w:type="paragraph" w:styleId="TableofFigures">
    <w:name w:val="table of figures"/>
    <w:basedOn w:val="Normal"/>
    <w:next w:val="Normal"/>
    <w:uiPriority w:val="99"/>
    <w:rsid w:val="00BE63EB"/>
    <w:pPr>
      <w:ind w:left="1418" w:hanging="1418"/>
      <w:jc w:val="left"/>
    </w:pPr>
    <w:rPr>
      <w:b/>
    </w:rPr>
  </w:style>
  <w:style w:type="paragraph" w:customStyle="1" w:styleId="Doc-text2">
    <w:name w:val="Doc-text2"/>
    <w:basedOn w:val="Normal"/>
    <w:link w:val="Doc-text2Char"/>
    <w:qFormat/>
    <w:rsid w:val="00BE63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63EB"/>
    <w:rPr>
      <w:rFonts w:ascii="Arial" w:eastAsia="MS Mincho" w:hAnsi="Arial"/>
      <w:szCs w:val="24"/>
      <w:lang w:val="en-GB" w:eastAsia="en-GB"/>
    </w:rPr>
  </w:style>
  <w:style w:type="paragraph" w:customStyle="1" w:styleId="IvDbodytext">
    <w:name w:val="IvD bodytext"/>
    <w:basedOn w:val="BodyText"/>
    <w:link w:val="IvDbodytextChar"/>
    <w:qFormat/>
    <w:rsid w:val="005B4A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5B4AE4"/>
    <w:rPr>
      <w:rFonts w:ascii="Arial" w:hAnsi="Arial"/>
      <w:spacing w:val="2"/>
      <w:lang w:val="en-GB" w:eastAsia="zh-CN"/>
    </w:rPr>
  </w:style>
  <w:style w:type="character" w:customStyle="1" w:styleId="CommentTextChar">
    <w:name w:val="Comment Text Char"/>
    <w:basedOn w:val="DefaultParagraphFont"/>
    <w:link w:val="CommentText"/>
    <w:rsid w:val="00DD3219"/>
    <w:rPr>
      <w:rFonts w:ascii="Arial" w:hAnsi="Arial"/>
      <w:lang w:val="en-GB" w:eastAsia="zh-CN"/>
    </w:rPr>
  </w:style>
  <w:style w:type="paragraph" w:styleId="ListParagraph">
    <w:name w:val="List Paragraph"/>
    <w:basedOn w:val="Normal"/>
    <w:uiPriority w:val="34"/>
    <w:qFormat/>
    <w:rsid w:val="00AC7090"/>
    <w:pPr>
      <w:ind w:left="720"/>
      <w:contextualSpacing/>
    </w:pPr>
  </w:style>
  <w:style w:type="paragraph" w:styleId="Revision">
    <w:name w:val="Revision"/>
    <w:hidden/>
    <w:uiPriority w:val="99"/>
    <w:semiHidden/>
    <w:rsid w:val="00801B7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158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ricoll.internal.ericsson.com/sites/star/Documents/3GPP/RAN2/RAN2_99bis_Prague/User%20Plane/R2-17xxxxx%20-%20RAR%20PDU%20and%20Contents.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5NUHHDQN7SK2-1-182691</_dlc_DocId>
    <_dlc_DocIdUrl xmlns="08b2df90-05d3-4030-90d4-c9feeb4a1cd9">
      <Url>https://ericoll.internal.ericsson.com/sites/star/_layouts/DocIdRedir.aspx?ID=5NUHHDQN7SK2-1-182691</Url>
      <Description>5NUHHDQN7SK2-1-182691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EEAA8C9F-5B62-4362-A017-1B5EB62A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313</TotalTime>
  <Pages>4</Pages>
  <Words>1306</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Author</cp:lastModifiedBy>
  <cp:revision>28</cp:revision>
  <cp:lastPrinted>2017-09-26T13:42:00Z</cp:lastPrinted>
  <dcterms:created xsi:type="dcterms:W3CDTF">2017-09-27T09:25:00Z</dcterms:created>
  <dcterms:modified xsi:type="dcterms:W3CDTF">2017-09-28T23:19:00Z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dfe4fab2-3a4a-433e-9551-a7cf6d5bc3a5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